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6A" w:rsidRPr="00EB0432" w:rsidRDefault="00202C6A" w:rsidP="00AE7C9D">
      <w:pPr>
        <w:pStyle w:val="DefaultText"/>
        <w:jc w:val="center"/>
        <w:rPr>
          <w:rFonts w:ascii="Arial" w:hAnsi="Arial"/>
          <w:b/>
          <w:sz w:val="20"/>
          <w:szCs w:val="20"/>
        </w:rPr>
      </w:pPr>
    </w:p>
    <w:p w:rsidR="00CB74F0" w:rsidRDefault="00C41F28" w:rsidP="00BF32DA">
      <w:pPr>
        <w:pStyle w:val="DefaultText"/>
        <w:jc w:val="center"/>
        <w:rPr>
          <w:rFonts w:ascii="Arial" w:hAnsi="Arial"/>
          <w:b/>
          <w:sz w:val="22"/>
          <w:szCs w:val="22"/>
        </w:rPr>
      </w:pPr>
      <w:r w:rsidRPr="00EB0432">
        <w:rPr>
          <w:noProof/>
          <w:lang w:val="en-IN" w:eastAsia="en-IN" w:bidi="ar-SA"/>
        </w:rPr>
        <w:drawing>
          <wp:inline distT="0" distB="0" distL="0" distR="0" wp14:anchorId="53292993" wp14:editId="6D2CC7D0">
            <wp:extent cx="2528068" cy="577970"/>
            <wp:effectExtent l="19050" t="0" r="5582" b="0"/>
            <wp:docPr id="2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7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67" w:rsidRPr="00EB0432" w:rsidRDefault="002D6667" w:rsidP="00AE7C9D">
      <w:pPr>
        <w:pStyle w:val="DefaultText"/>
        <w:jc w:val="center"/>
        <w:rPr>
          <w:rFonts w:ascii="Arial" w:hAnsi="Arial"/>
          <w:b/>
          <w:sz w:val="22"/>
          <w:szCs w:val="22"/>
        </w:rPr>
      </w:pPr>
      <w:r w:rsidRPr="00EB0432">
        <w:rPr>
          <w:rFonts w:ascii="Arial" w:hAnsi="Arial"/>
          <w:b/>
          <w:sz w:val="22"/>
          <w:szCs w:val="22"/>
        </w:rPr>
        <w:t>Small Industries Development Bank of India</w:t>
      </w:r>
    </w:p>
    <w:p w:rsidR="002D6667" w:rsidRPr="00EB0432" w:rsidRDefault="002D6667">
      <w:pPr>
        <w:pStyle w:val="DefaultText"/>
        <w:jc w:val="center"/>
        <w:rPr>
          <w:rFonts w:ascii="Arial" w:hAnsi="Arial"/>
          <w:b/>
          <w:sz w:val="20"/>
          <w:szCs w:val="20"/>
        </w:rPr>
      </w:pPr>
      <w:r w:rsidRPr="00EB0432">
        <w:rPr>
          <w:rFonts w:ascii="Arial" w:hAnsi="Arial"/>
          <w:b/>
          <w:sz w:val="20"/>
          <w:szCs w:val="20"/>
        </w:rPr>
        <w:t>(Established under the Small Industries Development Bank of India Act, 1989)</w:t>
      </w:r>
    </w:p>
    <w:p w:rsidR="0069071D" w:rsidRPr="00EB0432" w:rsidRDefault="002D6667">
      <w:pPr>
        <w:pStyle w:val="DefaultText"/>
        <w:jc w:val="center"/>
        <w:rPr>
          <w:rFonts w:ascii="Arial" w:hAnsi="Arial"/>
          <w:b/>
          <w:sz w:val="20"/>
          <w:szCs w:val="20"/>
        </w:rPr>
      </w:pPr>
      <w:r w:rsidRPr="00EB0432">
        <w:rPr>
          <w:rFonts w:ascii="Arial" w:hAnsi="Arial"/>
          <w:b/>
          <w:sz w:val="20"/>
          <w:szCs w:val="20"/>
        </w:rPr>
        <w:t xml:space="preserve">Head </w:t>
      </w:r>
      <w:r w:rsidR="00F86CC6" w:rsidRPr="00EB0432">
        <w:rPr>
          <w:rFonts w:ascii="Arial" w:hAnsi="Arial"/>
          <w:b/>
          <w:sz w:val="20"/>
          <w:szCs w:val="20"/>
        </w:rPr>
        <w:t>Office:</w:t>
      </w:r>
      <w:r w:rsidRPr="00EB0432">
        <w:rPr>
          <w:rFonts w:ascii="Arial" w:hAnsi="Arial"/>
          <w:b/>
          <w:sz w:val="20"/>
          <w:szCs w:val="20"/>
        </w:rPr>
        <w:t xml:space="preserve"> SIDBI Tower, 15, Ashok Marg, Lucknow-226 001</w:t>
      </w:r>
    </w:p>
    <w:p w:rsidR="006E274A" w:rsidRPr="00EB0432" w:rsidRDefault="006E274A">
      <w:pPr>
        <w:pStyle w:val="DefaultText"/>
        <w:jc w:val="center"/>
        <w:rPr>
          <w:rFonts w:ascii="Arial" w:hAnsi="Arial"/>
          <w:b/>
          <w:sz w:val="20"/>
          <w:szCs w:val="20"/>
        </w:rPr>
      </w:pPr>
    </w:p>
    <w:p w:rsidR="00FC09BA" w:rsidRPr="001C2E03" w:rsidRDefault="001C2E03" w:rsidP="00FC09BA">
      <w:pPr>
        <w:pStyle w:val="DefaultText"/>
        <w:spacing w:after="100" w:afterAutospacing="1"/>
        <w:jc w:val="right"/>
        <w:rPr>
          <w:rFonts w:ascii="Arial" w:hAnsi="Arial" w:cs="Arial"/>
          <w:b/>
          <w:bCs/>
          <w:sz w:val="20"/>
          <w:szCs w:val="20"/>
        </w:rPr>
      </w:pPr>
      <w:r w:rsidRPr="001C2E03">
        <w:rPr>
          <w:rFonts w:ascii="Arial" w:hAnsi="Arial" w:cs="Arial"/>
          <w:b/>
          <w:bCs/>
          <w:sz w:val="20"/>
          <w:szCs w:val="20"/>
        </w:rPr>
        <w:t>Reviewed Financial Results for the quarter &amp; nine months ended December 31, 2017</w:t>
      </w:r>
      <w:r w:rsidR="00BD02A7" w:rsidRPr="001C2E03">
        <w:rPr>
          <w:rFonts w:ascii="Arial" w:hAnsi="Arial" w:cs="Arial"/>
          <w:b/>
          <w:bCs/>
          <w:sz w:val="20"/>
          <w:szCs w:val="20"/>
        </w:rPr>
        <w:tab/>
      </w:r>
    </w:p>
    <w:p w:rsidR="006E274A" w:rsidRDefault="00BD02A7" w:rsidP="00FC09BA">
      <w:pPr>
        <w:pStyle w:val="DefaultText"/>
        <w:spacing w:after="100" w:afterAutospacing="1"/>
        <w:jc w:val="right"/>
        <w:rPr>
          <w:rFonts w:ascii="Arial" w:hAnsi="Arial" w:cs="Arial"/>
          <w:b/>
          <w:bCs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(</w:t>
      </w:r>
      <w:r w:rsidRPr="00EB0432">
        <w:rPr>
          <w:rFonts w:ascii="Rupee Foradian" w:hAnsi="Rupee Foradian" w:cs="Arial"/>
          <w:b/>
          <w:bCs/>
          <w:sz w:val="20"/>
          <w:szCs w:val="20"/>
        </w:rPr>
        <w:t>`</w:t>
      </w:r>
      <w:r w:rsidRPr="00EB0432">
        <w:rPr>
          <w:rFonts w:ascii="Arial" w:hAnsi="Arial" w:cs="Arial"/>
          <w:b/>
          <w:bCs/>
          <w:sz w:val="20"/>
          <w:szCs w:val="20"/>
        </w:rPr>
        <w:t xml:space="preserve"> </w:t>
      </w:r>
      <w:r w:rsidR="005C75DD">
        <w:rPr>
          <w:rFonts w:ascii="Arial" w:hAnsi="Arial" w:cs="Arial"/>
          <w:b/>
          <w:bCs/>
          <w:sz w:val="20"/>
          <w:szCs w:val="20"/>
        </w:rPr>
        <w:t xml:space="preserve">in </w:t>
      </w:r>
      <w:r w:rsidRPr="00EB0432">
        <w:rPr>
          <w:rFonts w:ascii="Arial" w:hAnsi="Arial" w:cs="Arial"/>
          <w:b/>
          <w:bCs/>
          <w:sz w:val="20"/>
          <w:szCs w:val="20"/>
        </w:rPr>
        <w:t>crore)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5"/>
        <w:gridCol w:w="1439"/>
        <w:gridCol w:w="1272"/>
        <w:gridCol w:w="1272"/>
        <w:gridCol w:w="1272"/>
        <w:gridCol w:w="1316"/>
      </w:tblGrid>
      <w:tr w:rsidR="007E6DEF" w:rsidRPr="00061701" w:rsidTr="00C15A1F">
        <w:trPr>
          <w:trHeight w:val="1620"/>
        </w:trPr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Particulars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Quarter ended 31 Dec 2017 [Reviewed]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Quarter ended 31 Dec 2016 [Reviewed]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Nine months ended            </w:t>
            </w:r>
            <w:proofErr w:type="gramStart"/>
            <w:r w:rsidRPr="00061701">
              <w:rPr>
                <w:rFonts w:ascii="Arial" w:hAnsi="Arial" w:cs="Arial"/>
                <w:b/>
                <w:bCs/>
                <w:sz w:val="20"/>
              </w:rPr>
              <w:t>31  Dec</w:t>
            </w:r>
            <w:proofErr w:type="gramEnd"/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 2017 [Reviewed]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Nine months ended            </w:t>
            </w:r>
            <w:proofErr w:type="gramStart"/>
            <w:r w:rsidRPr="00061701">
              <w:rPr>
                <w:rFonts w:ascii="Arial" w:hAnsi="Arial" w:cs="Arial"/>
                <w:b/>
                <w:bCs/>
                <w:sz w:val="20"/>
              </w:rPr>
              <w:t>31  Dec</w:t>
            </w:r>
            <w:proofErr w:type="gramEnd"/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 2016 [Reviewed]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6DEF" w:rsidRPr="00061701" w:rsidRDefault="007E6DEF" w:rsidP="00C15A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Previous Accounting Year Ended March 31, 2017 [Audited]</w:t>
            </w:r>
          </w:p>
        </w:tc>
      </w:tr>
      <w:tr w:rsidR="007E6DEF" w:rsidRPr="00061701" w:rsidTr="00C15A1F">
        <w:trPr>
          <w:trHeight w:val="330"/>
        </w:trPr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1. Interest earned (a)+(b)+(c)+(d)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1525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1595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4430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4665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6071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(a) Interest/disc. on advances/ bills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1414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1516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4164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4374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5708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(b) Income on investments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22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(c) Interest on balances with Reserve Bank of India and other </w:t>
            </w:r>
            <w:proofErr w:type="spellStart"/>
            <w:r w:rsidRPr="00061701">
              <w:rPr>
                <w:rFonts w:ascii="Arial" w:hAnsi="Arial" w:cs="Arial"/>
                <w:sz w:val="20"/>
              </w:rPr>
              <w:t>inter bank</w:t>
            </w:r>
            <w:proofErr w:type="spellEnd"/>
            <w:r w:rsidRPr="00061701">
              <w:rPr>
                <w:rFonts w:ascii="Arial" w:hAnsi="Arial" w:cs="Arial"/>
                <w:sz w:val="20"/>
              </w:rPr>
              <w:t xml:space="preserve"> funds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341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(d) Others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   -  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2. Other Income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275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3. Total Income (1+2)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1696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1687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4743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4898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6346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4. Interest Expended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1,008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1029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2892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3108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4046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5. Operating Expenses (</w:t>
            </w:r>
            <w:proofErr w:type="spellStart"/>
            <w:r w:rsidRPr="00061701">
              <w:rPr>
                <w:rFonts w:ascii="Arial" w:hAnsi="Arial" w:cs="Arial"/>
                <w:b/>
                <w:bCs/>
                <w:sz w:val="20"/>
              </w:rPr>
              <w:t>i</w:t>
            </w:r>
            <w:proofErr w:type="spellEnd"/>
            <w:r w:rsidRPr="00061701">
              <w:rPr>
                <w:rFonts w:ascii="Arial" w:hAnsi="Arial" w:cs="Arial"/>
                <w:b/>
                <w:bCs/>
                <w:sz w:val="20"/>
              </w:rPr>
              <w:t>)+(ii)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351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533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</w:t>
            </w:r>
            <w:proofErr w:type="spellStart"/>
            <w:r w:rsidRPr="00061701">
              <w:rPr>
                <w:rFonts w:ascii="Arial" w:hAnsi="Arial" w:cs="Arial"/>
                <w:sz w:val="20"/>
              </w:rPr>
              <w:t>i</w:t>
            </w:r>
            <w:proofErr w:type="spellEnd"/>
            <w:r w:rsidRPr="00061701">
              <w:rPr>
                <w:rFonts w:ascii="Arial" w:hAnsi="Arial" w:cs="Arial"/>
                <w:sz w:val="20"/>
              </w:rPr>
              <w:t>) Employees cost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100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407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(ii) Other operating expenses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  27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126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6. Total Expenditure (4+5) excluding provisions and contingencies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             1,135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1132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3243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3475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4579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7. Operating Profit before Provisions and Contingencies (3-6)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                561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555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1423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1767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8. Provisions (other than tax) and Contingencies*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(14)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80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9. Exceptional Items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   -  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 -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10. Profit (+)/ Loss (-) from Ordinary Activities before tax (7-8-9)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575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1493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1299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1687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11. Tax expense@ 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                172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567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 xml:space="preserve">12. Net </w:t>
            </w:r>
            <w:proofErr w:type="gramStart"/>
            <w:r w:rsidRPr="00061701">
              <w:rPr>
                <w:rFonts w:ascii="Arial" w:hAnsi="Arial" w:cs="Arial"/>
                <w:b/>
                <w:bCs/>
                <w:sz w:val="20"/>
              </w:rPr>
              <w:t>Profit(</w:t>
            </w:r>
            <w:proofErr w:type="gramEnd"/>
            <w:r w:rsidRPr="00061701">
              <w:rPr>
                <w:rFonts w:ascii="Arial" w:hAnsi="Arial" w:cs="Arial"/>
                <w:b/>
                <w:bCs/>
                <w:sz w:val="20"/>
              </w:rPr>
              <w:t>+)/ Loss(-) from Ordinary Activities after tax (10-11)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941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1120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13. Extraordinary items (net of tax expense)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7E6DE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-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14. Net Profit (+)/ Loss (–) for the period (12-13)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338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941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1120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lastRenderedPageBreak/>
              <w:t xml:space="preserve">15. Paid-up equity share capital (Face Value   </w:t>
            </w:r>
            <w:r w:rsidRPr="00061701">
              <w:rPr>
                <w:rFonts w:ascii="Rupee Foradian" w:hAnsi="Rupee Foradian" w:cs="Arial"/>
                <w:sz w:val="20"/>
              </w:rPr>
              <w:t xml:space="preserve">` </w:t>
            </w:r>
            <w:r w:rsidRPr="00061701">
              <w:rPr>
                <w:rFonts w:ascii="Arial" w:hAnsi="Arial" w:cs="Arial"/>
                <w:sz w:val="20"/>
              </w:rPr>
              <w:t>10 each)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532</w:t>
            </w:r>
          </w:p>
        </w:tc>
      </w:tr>
      <w:tr w:rsidR="007E6DEF" w:rsidRPr="00061701" w:rsidTr="00C15A1F">
        <w:trPr>
          <w:trHeight w:val="49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16. Reserves excluding Revaluation Reserves 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12789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10,828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12789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10,828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12,789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17. Analytical Ratios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 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(</w:t>
            </w:r>
            <w:proofErr w:type="spellStart"/>
            <w:r w:rsidRPr="00061701">
              <w:rPr>
                <w:rFonts w:ascii="Arial" w:hAnsi="Arial" w:cs="Arial"/>
                <w:sz w:val="20"/>
              </w:rPr>
              <w:t>i</w:t>
            </w:r>
            <w:proofErr w:type="spellEnd"/>
            <w:r w:rsidRPr="00061701">
              <w:rPr>
                <w:rFonts w:ascii="Arial" w:hAnsi="Arial" w:cs="Arial"/>
                <w:sz w:val="20"/>
              </w:rPr>
              <w:t>) Capital Adequacy Ratio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27.59%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31.97%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27.59%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31.97%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28.42%</w:t>
            </w:r>
          </w:p>
        </w:tc>
      </w:tr>
      <w:tr w:rsidR="007E6DEF" w:rsidRPr="00061701" w:rsidTr="00C15A1F">
        <w:trPr>
          <w:trHeight w:val="51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 xml:space="preserve">(ii) Earnings Per Share (EPS) (Not </w:t>
            </w:r>
            <w:proofErr w:type="spellStart"/>
            <w:r w:rsidRPr="00061701">
              <w:rPr>
                <w:rFonts w:ascii="Arial" w:hAnsi="Arial" w:cs="Arial"/>
                <w:sz w:val="20"/>
              </w:rPr>
              <w:t>Annualised</w:t>
            </w:r>
            <w:proofErr w:type="spellEnd"/>
            <w:r w:rsidRPr="0006170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6.37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18.14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21.47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18) NPA Ratios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6170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 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a) Amount of Gross NPA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897.31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1190.86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897.31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1190.86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823.28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proofErr w:type="gramStart"/>
            <w:r w:rsidRPr="00061701">
              <w:rPr>
                <w:rFonts w:ascii="Arial" w:hAnsi="Arial" w:cs="Arial"/>
                <w:sz w:val="20"/>
              </w:rPr>
              <w:t>b)Amount</w:t>
            </w:r>
            <w:proofErr w:type="gramEnd"/>
            <w:r w:rsidRPr="00061701">
              <w:rPr>
                <w:rFonts w:ascii="Arial" w:hAnsi="Arial" w:cs="Arial"/>
                <w:sz w:val="20"/>
              </w:rPr>
              <w:t xml:space="preserve"> of Net NPA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406.06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433.19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406.06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433.19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302.25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c)% of Gross NPA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1.09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1.72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1.20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d)% of Net NPA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0.63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0.49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0.63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0.44</w:t>
            </w:r>
          </w:p>
        </w:tc>
      </w:tr>
      <w:tr w:rsidR="007E6DEF" w:rsidRPr="00061701" w:rsidTr="00C15A1F">
        <w:trPr>
          <w:trHeight w:val="255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DEF" w:rsidRPr="00061701" w:rsidRDefault="007E6DEF" w:rsidP="00C15A1F">
            <w:pPr>
              <w:spacing w:after="0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e) Return on Assets (after Tax)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701">
              <w:rPr>
                <w:rFonts w:ascii="Arial" w:hAnsi="Arial" w:cs="Arial"/>
                <w:sz w:val="18"/>
                <w:szCs w:val="18"/>
              </w:rPr>
              <w:t>0.46%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0.42%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1.25%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1.18%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EF" w:rsidRPr="00061701" w:rsidRDefault="007E6DEF" w:rsidP="00C15A1F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061701">
              <w:rPr>
                <w:rFonts w:ascii="Arial" w:hAnsi="Arial" w:cs="Arial"/>
                <w:sz w:val="20"/>
              </w:rPr>
              <w:t>1.42%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</w:tbl>
    <w:p w:rsidR="007E6DEF" w:rsidRDefault="007E6DEF" w:rsidP="007E6DEF">
      <w:pPr>
        <w:pStyle w:val="DefaultText"/>
        <w:spacing w:after="100" w:afterAutospacing="1"/>
        <w:rPr>
          <w:rFonts w:ascii="Arial" w:hAnsi="Arial" w:cs="Arial"/>
          <w:sz w:val="20"/>
          <w:szCs w:val="20"/>
        </w:rPr>
      </w:pPr>
    </w:p>
    <w:p w:rsidR="00945ACC" w:rsidRPr="00EB0432" w:rsidRDefault="00580775" w:rsidP="00B90283">
      <w:pPr>
        <w:pStyle w:val="DefaultText"/>
        <w:spacing w:after="100" w:afterAutospacing="1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*</w:t>
      </w:r>
      <w:r w:rsidR="003A5032" w:rsidRPr="00EB0432">
        <w:rPr>
          <w:rFonts w:ascii="Arial" w:hAnsi="Arial" w:cs="Arial"/>
          <w:sz w:val="20"/>
          <w:szCs w:val="20"/>
        </w:rPr>
        <w:t>Net of write back             @Net of deferred tax adjustment            **</w:t>
      </w:r>
      <w:proofErr w:type="spellStart"/>
      <w:r w:rsidR="003A5032" w:rsidRPr="00EB0432">
        <w:rPr>
          <w:rFonts w:ascii="Arial" w:hAnsi="Arial" w:cs="Arial"/>
          <w:sz w:val="20"/>
          <w:szCs w:val="20"/>
        </w:rPr>
        <w:t>Annualised</w:t>
      </w:r>
      <w:proofErr w:type="spellEnd"/>
    </w:p>
    <w:p w:rsidR="004F6E3C" w:rsidRDefault="004F6E3C" w:rsidP="00F22F92">
      <w:pPr>
        <w:pStyle w:val="DefaultTex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F6E3C" w:rsidRPr="00EB0432" w:rsidRDefault="004F6E3C" w:rsidP="00F22F92">
      <w:pPr>
        <w:pStyle w:val="DefaultTex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2F92" w:rsidRPr="00EB0432" w:rsidRDefault="00FA683D" w:rsidP="00F22F92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b/>
          <w:bCs/>
          <w:sz w:val="20"/>
          <w:szCs w:val="20"/>
          <w:u w:val="single"/>
        </w:rPr>
        <w:t>Notes</w:t>
      </w:r>
      <w:r w:rsidRPr="00EB0432">
        <w:rPr>
          <w:rFonts w:ascii="Arial" w:hAnsi="Arial" w:cs="Arial"/>
          <w:sz w:val="20"/>
          <w:szCs w:val="20"/>
        </w:rPr>
        <w:t>:</w:t>
      </w:r>
    </w:p>
    <w:p w:rsidR="00FA683D" w:rsidRPr="00EB0432" w:rsidRDefault="00FA683D" w:rsidP="00F22F92">
      <w:pPr>
        <w:pStyle w:val="DefaultText"/>
        <w:jc w:val="both"/>
        <w:rPr>
          <w:rFonts w:ascii="Arial" w:hAnsi="Arial" w:cs="Arial"/>
          <w:b/>
          <w:bCs/>
          <w:sz w:val="20"/>
          <w:szCs w:val="20"/>
        </w:rPr>
      </w:pPr>
    </w:p>
    <w:p w:rsidR="003E5919" w:rsidRPr="00EB0432" w:rsidRDefault="00EB1B38" w:rsidP="006E274A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>
        <w:rPr>
          <w:rFonts w:ascii="Rupee Foradian" w:hAnsi="Rupee Foradian" w:cs="Arial"/>
          <w:sz w:val="20"/>
          <w:szCs w:val="20"/>
        </w:rPr>
        <w:t>T</w:t>
      </w:r>
      <w:r w:rsidR="003E5919" w:rsidRPr="00EB0432">
        <w:rPr>
          <w:rFonts w:ascii="Rupee Foradian" w:hAnsi="Rupee Foradian" w:cs="Arial"/>
          <w:sz w:val="20"/>
          <w:szCs w:val="20"/>
        </w:rPr>
        <w:t xml:space="preserve">he Significant Accounting Policies </w:t>
      </w:r>
      <w:r>
        <w:rPr>
          <w:rFonts w:ascii="Rupee Foradian" w:hAnsi="Rupee Foradian" w:cs="Arial"/>
          <w:sz w:val="20"/>
          <w:szCs w:val="20"/>
        </w:rPr>
        <w:t xml:space="preserve">followed </w:t>
      </w:r>
      <w:r w:rsidR="003E5919" w:rsidRPr="00EB0432">
        <w:rPr>
          <w:rFonts w:ascii="Rupee Foradian" w:hAnsi="Rupee Foradian" w:cs="Arial"/>
          <w:sz w:val="20"/>
          <w:szCs w:val="20"/>
        </w:rPr>
        <w:t xml:space="preserve">in preparation of these financial results </w:t>
      </w:r>
      <w:r>
        <w:rPr>
          <w:rFonts w:ascii="Rupee Foradian" w:hAnsi="Rupee Foradian" w:cs="Arial"/>
          <w:sz w:val="20"/>
          <w:szCs w:val="20"/>
        </w:rPr>
        <w:t>are consistent with those followed</w:t>
      </w:r>
      <w:r w:rsidR="003E5919" w:rsidRPr="00EB0432">
        <w:rPr>
          <w:rFonts w:ascii="Rupee Foradian" w:hAnsi="Rupee Foradian" w:cs="Arial"/>
          <w:sz w:val="20"/>
          <w:szCs w:val="20"/>
        </w:rPr>
        <w:t xml:space="preserve"> in </w:t>
      </w:r>
      <w:r w:rsidR="001E6440">
        <w:rPr>
          <w:rFonts w:ascii="Rupee Foradian" w:hAnsi="Rupee Foradian" w:cs="Arial"/>
          <w:sz w:val="20"/>
          <w:szCs w:val="20"/>
        </w:rPr>
        <w:t xml:space="preserve">preparation of </w:t>
      </w:r>
      <w:r w:rsidR="003E5919" w:rsidRPr="00EB0432">
        <w:rPr>
          <w:rFonts w:ascii="Rupee Foradian" w:hAnsi="Rupee Foradian" w:cs="Arial"/>
          <w:sz w:val="20"/>
          <w:szCs w:val="20"/>
        </w:rPr>
        <w:t>the annual financial statements for the year ended March 31, 2017.</w:t>
      </w:r>
    </w:p>
    <w:p w:rsidR="006E274A" w:rsidRPr="00EB0432" w:rsidRDefault="00456FA8" w:rsidP="00FB2022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EB0432">
        <w:rPr>
          <w:rFonts w:ascii="Rupee Foradian" w:hAnsi="Rupee Foradian" w:cs="Arial"/>
          <w:sz w:val="20"/>
          <w:szCs w:val="20"/>
        </w:rPr>
        <w:t xml:space="preserve">The above results have been </w:t>
      </w:r>
      <w:r w:rsidR="003E5919" w:rsidRPr="00EB0432">
        <w:rPr>
          <w:rFonts w:ascii="Rupee Foradian" w:hAnsi="Rupee Foradian" w:cs="Arial"/>
          <w:sz w:val="20"/>
          <w:szCs w:val="20"/>
        </w:rPr>
        <w:t>approved</w:t>
      </w:r>
      <w:r w:rsidRPr="00EB0432">
        <w:rPr>
          <w:rFonts w:ascii="Rupee Foradian" w:hAnsi="Rupee Foradian" w:cs="Arial"/>
          <w:sz w:val="20"/>
          <w:szCs w:val="20"/>
        </w:rPr>
        <w:t xml:space="preserve"> by the Board of Directors at their meeting held on </w:t>
      </w:r>
      <w:r w:rsidR="007E6DEF">
        <w:rPr>
          <w:rFonts w:ascii="Rupee Foradian" w:hAnsi="Rupee Foradian" w:cs="Arial"/>
          <w:sz w:val="20"/>
          <w:szCs w:val="20"/>
        </w:rPr>
        <w:t>January 27</w:t>
      </w:r>
      <w:r w:rsidR="006E274A" w:rsidRPr="00EB0432">
        <w:rPr>
          <w:rFonts w:ascii="Rupee Foradian" w:hAnsi="Rupee Foradian" w:cs="Arial"/>
          <w:sz w:val="20"/>
          <w:szCs w:val="20"/>
        </w:rPr>
        <w:t>, 201</w:t>
      </w:r>
      <w:r w:rsidR="00DB558D">
        <w:rPr>
          <w:rFonts w:ascii="Rupee Foradian" w:hAnsi="Rupee Foradian" w:cs="Arial"/>
          <w:sz w:val="20"/>
          <w:szCs w:val="20"/>
        </w:rPr>
        <w:t>8</w:t>
      </w:r>
      <w:r w:rsidR="006E274A" w:rsidRPr="00EB0432">
        <w:rPr>
          <w:rFonts w:ascii="Rupee Foradian" w:hAnsi="Rupee Foradian" w:cs="Arial"/>
          <w:sz w:val="20"/>
          <w:szCs w:val="20"/>
        </w:rPr>
        <w:t>.</w:t>
      </w:r>
      <w:r w:rsidR="00FB2022">
        <w:rPr>
          <w:rFonts w:ascii="Rupee Foradian" w:hAnsi="Rupee Foradian" w:cs="Arial"/>
          <w:sz w:val="20"/>
          <w:szCs w:val="20"/>
        </w:rPr>
        <w:t xml:space="preserve"> </w:t>
      </w:r>
    </w:p>
    <w:p w:rsidR="001E6440" w:rsidRDefault="00F5189B" w:rsidP="006E274A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EB0432">
        <w:rPr>
          <w:rFonts w:ascii="Rupee Foradian" w:hAnsi="Rupee Foradian" w:cs="Arial"/>
          <w:sz w:val="20"/>
          <w:szCs w:val="20"/>
        </w:rPr>
        <w:t>The financia</w:t>
      </w:r>
      <w:r>
        <w:rPr>
          <w:rFonts w:ascii="Rupee Foradian" w:hAnsi="Rupee Foradian" w:cs="Arial"/>
          <w:sz w:val="20"/>
          <w:szCs w:val="20"/>
        </w:rPr>
        <w:t xml:space="preserve">l </w:t>
      </w:r>
      <w:r w:rsidR="004E4D4D">
        <w:rPr>
          <w:rFonts w:ascii="Rupee Foradian" w:hAnsi="Rupee Foradian" w:cs="Arial"/>
          <w:sz w:val="20"/>
          <w:szCs w:val="20"/>
        </w:rPr>
        <w:t xml:space="preserve">results for the quarter and nine months ended December 31, 2017 </w:t>
      </w:r>
      <w:r w:rsidR="006E274A" w:rsidRPr="00EB0432">
        <w:rPr>
          <w:rFonts w:ascii="Rupee Foradian" w:hAnsi="Rupee Foradian" w:cs="Arial"/>
          <w:sz w:val="20"/>
          <w:szCs w:val="20"/>
        </w:rPr>
        <w:t xml:space="preserve">have been arrived at after considering provisions for Non-performing assets, Standard Assets and Investment Depreciation </w:t>
      </w:r>
      <w:proofErr w:type="gramStart"/>
      <w:r w:rsidR="006E274A" w:rsidRPr="00EB0432">
        <w:rPr>
          <w:rFonts w:ascii="Rupee Foradian" w:hAnsi="Rupee Foradian" w:cs="Arial"/>
          <w:sz w:val="20"/>
          <w:szCs w:val="20"/>
        </w:rPr>
        <w:t>on the basis of</w:t>
      </w:r>
      <w:proofErr w:type="gramEnd"/>
      <w:r w:rsidR="006E274A" w:rsidRPr="00EB0432">
        <w:rPr>
          <w:rFonts w:ascii="Rupee Foradian" w:hAnsi="Rupee Foradian" w:cs="Arial"/>
          <w:sz w:val="20"/>
          <w:szCs w:val="20"/>
        </w:rPr>
        <w:t xml:space="preserve"> prudential norms issued by Reserve Bank of India. </w:t>
      </w:r>
    </w:p>
    <w:p w:rsidR="00456FA8" w:rsidRPr="00EB0432" w:rsidRDefault="00456FA8" w:rsidP="00F23705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EB0432">
        <w:rPr>
          <w:rFonts w:ascii="Rupee Foradian" w:hAnsi="Rupee Foradian" w:cs="Arial"/>
          <w:sz w:val="20"/>
          <w:szCs w:val="20"/>
        </w:rPr>
        <w:t xml:space="preserve">Floating provision is not considered for </w:t>
      </w:r>
      <w:r w:rsidR="00EB1B38">
        <w:rPr>
          <w:rFonts w:ascii="Rupee Foradian" w:hAnsi="Rupee Foradian" w:cs="Arial"/>
          <w:sz w:val="20"/>
          <w:szCs w:val="20"/>
        </w:rPr>
        <w:t>computation of</w:t>
      </w:r>
      <w:r w:rsidRPr="00EB0432">
        <w:rPr>
          <w:rFonts w:ascii="Rupee Foradian" w:hAnsi="Rupee Foradian" w:cs="Arial"/>
          <w:sz w:val="20"/>
          <w:szCs w:val="20"/>
        </w:rPr>
        <w:t xml:space="preserve"> </w:t>
      </w:r>
      <w:r w:rsidR="00EB1B38">
        <w:rPr>
          <w:rFonts w:ascii="Rupee Foradian" w:hAnsi="Rupee Foradian" w:cs="Arial"/>
          <w:sz w:val="20"/>
          <w:szCs w:val="20"/>
        </w:rPr>
        <w:t>n</w:t>
      </w:r>
      <w:r w:rsidR="00EB1B38" w:rsidRPr="00EB0432">
        <w:rPr>
          <w:rFonts w:ascii="Rupee Foradian" w:hAnsi="Rupee Foradian" w:cs="Arial"/>
          <w:sz w:val="20"/>
          <w:szCs w:val="20"/>
        </w:rPr>
        <w:t xml:space="preserve">et </w:t>
      </w:r>
      <w:r w:rsidRPr="00EB0432">
        <w:rPr>
          <w:rFonts w:ascii="Rupee Foradian" w:hAnsi="Rupee Foradian" w:cs="Arial"/>
          <w:sz w:val="20"/>
          <w:szCs w:val="20"/>
        </w:rPr>
        <w:t xml:space="preserve">NPAs. </w:t>
      </w:r>
    </w:p>
    <w:p w:rsidR="00456FA8" w:rsidRDefault="00456FA8" w:rsidP="00F23705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EB0432">
        <w:rPr>
          <w:rFonts w:ascii="Rupee Foradian" w:hAnsi="Rupee Foradian" w:cs="Arial"/>
          <w:sz w:val="20"/>
          <w:szCs w:val="20"/>
        </w:rPr>
        <w:t>Status of Investors’ Complaint</w:t>
      </w:r>
      <w:r w:rsidR="00EB1B38">
        <w:rPr>
          <w:rFonts w:ascii="Rupee Foradian" w:hAnsi="Rupee Foradian" w:cs="Arial"/>
          <w:sz w:val="20"/>
          <w:szCs w:val="20"/>
        </w:rPr>
        <w:t>s</w:t>
      </w:r>
      <w:r w:rsidRPr="00EB0432">
        <w:rPr>
          <w:rFonts w:ascii="Rupee Foradian" w:hAnsi="Rupee Foradian" w:cs="Arial"/>
          <w:sz w:val="20"/>
          <w:szCs w:val="20"/>
        </w:rPr>
        <w:t>:</w:t>
      </w:r>
      <w:r w:rsidR="00573ED6">
        <w:rPr>
          <w:rFonts w:ascii="Rupee Foradian" w:hAnsi="Rupee Foradian" w:cs="Arial"/>
          <w:sz w:val="20"/>
          <w:szCs w:val="20"/>
        </w:rPr>
        <w:t xml:space="preserve"> </w:t>
      </w:r>
      <w:r w:rsidR="00187F8E" w:rsidRPr="00EB0432">
        <w:rPr>
          <w:rFonts w:ascii="Rupee Foradian" w:hAnsi="Rupee Foradian" w:cs="Arial"/>
          <w:sz w:val="20"/>
          <w:szCs w:val="20"/>
        </w:rPr>
        <w:t>N</w:t>
      </w:r>
      <w:r w:rsidR="00A5657D" w:rsidRPr="00EB0432">
        <w:rPr>
          <w:rFonts w:ascii="Rupee Foradian" w:hAnsi="Rupee Foradian" w:cs="Arial"/>
          <w:sz w:val="20"/>
          <w:szCs w:val="20"/>
        </w:rPr>
        <w:t>o</w:t>
      </w:r>
      <w:r w:rsidR="00187F8E" w:rsidRPr="00EB0432">
        <w:rPr>
          <w:rFonts w:ascii="Rupee Foradian" w:hAnsi="Rupee Foradian" w:cs="Arial"/>
          <w:sz w:val="20"/>
          <w:szCs w:val="20"/>
        </w:rPr>
        <w:t xml:space="preserve"> complaint was pending as on </w:t>
      </w:r>
      <w:r w:rsidR="00BF32DA">
        <w:rPr>
          <w:rFonts w:ascii="Rupee Foradian" w:hAnsi="Rupee Foradian" w:cs="Arial"/>
          <w:sz w:val="20"/>
          <w:szCs w:val="20"/>
        </w:rPr>
        <w:t>October 01</w:t>
      </w:r>
      <w:r w:rsidR="00187F8E" w:rsidRPr="00EB0432">
        <w:rPr>
          <w:rFonts w:ascii="Rupee Foradian" w:hAnsi="Rupee Foradian" w:cs="Arial"/>
          <w:sz w:val="20"/>
          <w:szCs w:val="20"/>
        </w:rPr>
        <w:t>, 201</w:t>
      </w:r>
      <w:r w:rsidR="00DB48C2" w:rsidRPr="00EB0432">
        <w:rPr>
          <w:rFonts w:ascii="Rupee Foradian" w:hAnsi="Rupee Foradian" w:cs="Arial"/>
          <w:sz w:val="20"/>
          <w:szCs w:val="20"/>
        </w:rPr>
        <w:t>7</w:t>
      </w:r>
      <w:r w:rsidR="00187F8E" w:rsidRPr="00EB0432">
        <w:rPr>
          <w:rFonts w:ascii="Rupee Foradian" w:hAnsi="Rupee Foradian" w:cs="Arial"/>
          <w:sz w:val="20"/>
          <w:szCs w:val="20"/>
        </w:rPr>
        <w:t>.</w:t>
      </w:r>
      <w:r w:rsidR="00027484" w:rsidRPr="00EB0432">
        <w:rPr>
          <w:rFonts w:ascii="Rupee Foradian" w:hAnsi="Rupee Foradian" w:cs="Arial"/>
          <w:sz w:val="20"/>
          <w:szCs w:val="20"/>
        </w:rPr>
        <w:t>During the current quarter</w:t>
      </w:r>
      <w:r w:rsidR="001139B2" w:rsidRPr="00EB0432">
        <w:rPr>
          <w:rFonts w:ascii="Rupee Foradian" w:hAnsi="Rupee Foradian" w:cs="Arial"/>
          <w:sz w:val="20"/>
          <w:szCs w:val="20"/>
        </w:rPr>
        <w:t>, one complaint was receive</w:t>
      </w:r>
      <w:r w:rsidR="00A57F88">
        <w:rPr>
          <w:rFonts w:ascii="Rupee Foradian" w:hAnsi="Rupee Foradian" w:cs="Arial"/>
          <w:sz w:val="20"/>
          <w:szCs w:val="20"/>
        </w:rPr>
        <w:t>d from investors and one complai</w:t>
      </w:r>
      <w:r w:rsidR="001139B2" w:rsidRPr="00EB0432">
        <w:rPr>
          <w:rFonts w:ascii="Rupee Foradian" w:hAnsi="Rupee Foradian" w:cs="Arial"/>
          <w:sz w:val="20"/>
          <w:szCs w:val="20"/>
        </w:rPr>
        <w:t>nt was resolved</w:t>
      </w:r>
      <w:r w:rsidR="00187F8E" w:rsidRPr="00EB0432">
        <w:rPr>
          <w:rFonts w:ascii="Rupee Foradian" w:hAnsi="Rupee Foradian" w:cs="Arial"/>
          <w:sz w:val="20"/>
          <w:szCs w:val="20"/>
        </w:rPr>
        <w:t>.</w:t>
      </w:r>
      <w:r w:rsidR="00573ED6">
        <w:rPr>
          <w:rFonts w:ascii="Rupee Foradian" w:hAnsi="Rupee Foradian" w:cs="Arial"/>
          <w:sz w:val="20"/>
          <w:szCs w:val="20"/>
        </w:rPr>
        <w:t xml:space="preserve"> </w:t>
      </w:r>
      <w:r w:rsidR="00187F8E" w:rsidRPr="00EB0432">
        <w:rPr>
          <w:rFonts w:ascii="Rupee Foradian" w:hAnsi="Rupee Foradian" w:cs="Arial"/>
          <w:sz w:val="20"/>
          <w:szCs w:val="20"/>
        </w:rPr>
        <w:t>Accordingly,</w:t>
      </w:r>
      <w:r w:rsidR="00A5657D" w:rsidRPr="00EB0432">
        <w:rPr>
          <w:rFonts w:ascii="Rupee Foradian" w:hAnsi="Rupee Foradian" w:cs="Arial"/>
          <w:sz w:val="20"/>
          <w:szCs w:val="20"/>
        </w:rPr>
        <w:t xml:space="preserve"> no</w:t>
      </w:r>
      <w:r w:rsidR="00AD28A0" w:rsidRPr="00EB0432">
        <w:rPr>
          <w:rFonts w:ascii="Rupee Foradian" w:hAnsi="Rupee Foradian" w:cs="Arial"/>
          <w:sz w:val="20"/>
          <w:szCs w:val="20"/>
        </w:rPr>
        <w:t xml:space="preserve"> complaint was pending for disposal as on </w:t>
      </w:r>
      <w:r w:rsidR="005F3CB4">
        <w:rPr>
          <w:rFonts w:ascii="Rupee Foradian" w:hAnsi="Rupee Foradian" w:cs="Arial"/>
          <w:sz w:val="20"/>
          <w:szCs w:val="20"/>
        </w:rPr>
        <w:t>December 31</w:t>
      </w:r>
      <w:r w:rsidR="00E87DE3" w:rsidRPr="00EB0432">
        <w:rPr>
          <w:rFonts w:ascii="Rupee Foradian" w:hAnsi="Rupee Foradian" w:cs="Arial"/>
          <w:sz w:val="20"/>
          <w:szCs w:val="20"/>
        </w:rPr>
        <w:t>, 201</w:t>
      </w:r>
      <w:r w:rsidR="00DB48C2" w:rsidRPr="00EB0432">
        <w:rPr>
          <w:rFonts w:ascii="Rupee Foradian" w:hAnsi="Rupee Foradian" w:cs="Arial"/>
          <w:sz w:val="20"/>
          <w:szCs w:val="20"/>
        </w:rPr>
        <w:t>7</w:t>
      </w:r>
      <w:r w:rsidRPr="00EB0432">
        <w:rPr>
          <w:rFonts w:ascii="Rupee Foradian" w:hAnsi="Rupee Foradian" w:cs="Arial"/>
          <w:sz w:val="20"/>
          <w:szCs w:val="20"/>
        </w:rPr>
        <w:t>.</w:t>
      </w:r>
    </w:p>
    <w:p w:rsidR="00F85092" w:rsidRDefault="000D1E5A" w:rsidP="003E5919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F5189B">
        <w:rPr>
          <w:rFonts w:ascii="Rupee Foradian" w:hAnsi="Rupee Foradian" w:cs="Arial"/>
          <w:sz w:val="20"/>
          <w:szCs w:val="20"/>
        </w:rPr>
        <w:t>In accordance with RBI guidelines on 'Basel III Capital Regulations' read together with the RBI circular dated July 1, 2015, the consolidated Pillar 3 disclosure (unaudited) at December 31, 2017 including leverage ratio and liquidity coverage ratio is available at the Bank’s website</w:t>
      </w:r>
      <w:r w:rsidR="004E4D4D" w:rsidRPr="00F5189B">
        <w:rPr>
          <w:rFonts w:ascii="Rupee Foradian" w:hAnsi="Rupee Foradian" w:cs="Arial"/>
          <w:sz w:val="20"/>
          <w:szCs w:val="20"/>
        </w:rPr>
        <w:t xml:space="preserve"> www://</w:t>
      </w:r>
      <w:r w:rsidR="00F5189B" w:rsidRPr="00F5189B">
        <w:rPr>
          <w:rFonts w:ascii="Rupee Foradian" w:hAnsi="Rupee Foradian" w:cs="Arial"/>
          <w:sz w:val="20"/>
          <w:szCs w:val="20"/>
        </w:rPr>
        <w:t>sidbi.in.</w:t>
      </w:r>
    </w:p>
    <w:p w:rsidR="003E5919" w:rsidRDefault="003E5919" w:rsidP="003E5919">
      <w:pPr>
        <w:pStyle w:val="DefaultText"/>
        <w:numPr>
          <w:ilvl w:val="0"/>
          <w:numId w:val="2"/>
        </w:numPr>
        <w:jc w:val="both"/>
        <w:rPr>
          <w:rFonts w:ascii="Rupee Foradian" w:hAnsi="Rupee Foradian" w:cs="Arial"/>
          <w:sz w:val="20"/>
          <w:szCs w:val="20"/>
        </w:rPr>
      </w:pPr>
      <w:r w:rsidRPr="00EB0432">
        <w:rPr>
          <w:rFonts w:ascii="Rupee Foradian" w:hAnsi="Rupee Foradian" w:cs="Arial"/>
          <w:sz w:val="20"/>
          <w:szCs w:val="20"/>
        </w:rPr>
        <w:t xml:space="preserve">Previous </w:t>
      </w:r>
      <w:r w:rsidR="00EB1B38">
        <w:rPr>
          <w:rFonts w:ascii="Rupee Foradian" w:hAnsi="Rupee Foradian" w:cs="Arial"/>
          <w:sz w:val="20"/>
          <w:szCs w:val="20"/>
        </w:rPr>
        <w:t>year and previous period</w:t>
      </w:r>
      <w:r w:rsidR="00027484" w:rsidRPr="00EB0432">
        <w:rPr>
          <w:rFonts w:ascii="Rupee Foradian" w:hAnsi="Rupee Foradian" w:cs="Arial"/>
          <w:sz w:val="20"/>
          <w:szCs w:val="20"/>
        </w:rPr>
        <w:t xml:space="preserve"> </w:t>
      </w:r>
      <w:r w:rsidRPr="00EB0432">
        <w:rPr>
          <w:rFonts w:ascii="Rupee Foradian" w:hAnsi="Rupee Foradian" w:cs="Arial"/>
          <w:sz w:val="20"/>
          <w:szCs w:val="20"/>
        </w:rPr>
        <w:t xml:space="preserve">figures have been regrouped / </w:t>
      </w:r>
      <w:r w:rsidR="00EB1B38" w:rsidRPr="00EB0432">
        <w:rPr>
          <w:rFonts w:ascii="Rupee Foradian" w:hAnsi="Rupee Foradian" w:cs="Arial"/>
          <w:sz w:val="20"/>
          <w:szCs w:val="20"/>
        </w:rPr>
        <w:t>re</w:t>
      </w:r>
      <w:r w:rsidR="00EB1B38">
        <w:rPr>
          <w:rFonts w:ascii="Rupee Foradian" w:hAnsi="Rupee Foradian" w:cs="Arial"/>
          <w:sz w:val="20"/>
          <w:szCs w:val="20"/>
        </w:rPr>
        <w:t>classified</w:t>
      </w:r>
      <w:r w:rsidR="00EB1B38" w:rsidRPr="00EB0432">
        <w:rPr>
          <w:rFonts w:ascii="Rupee Foradian" w:hAnsi="Rupee Foradian" w:cs="Arial"/>
          <w:sz w:val="20"/>
          <w:szCs w:val="20"/>
        </w:rPr>
        <w:t xml:space="preserve"> </w:t>
      </w:r>
      <w:r w:rsidRPr="00EB0432">
        <w:rPr>
          <w:rFonts w:ascii="Rupee Foradian" w:hAnsi="Rupee Foradian" w:cs="Arial"/>
          <w:sz w:val="20"/>
          <w:szCs w:val="20"/>
        </w:rPr>
        <w:t>wherever necessary t</w:t>
      </w:r>
      <w:r w:rsidR="00027484" w:rsidRPr="00EB0432">
        <w:rPr>
          <w:rFonts w:ascii="Rupee Foradian" w:hAnsi="Rupee Foradian" w:cs="Arial"/>
          <w:sz w:val="20"/>
          <w:szCs w:val="20"/>
        </w:rPr>
        <w:t xml:space="preserve">o conform to current </w:t>
      </w:r>
      <w:r w:rsidR="00EB1B38">
        <w:rPr>
          <w:rFonts w:ascii="Rupee Foradian" w:hAnsi="Rupee Foradian" w:cs="Arial"/>
          <w:sz w:val="20"/>
          <w:szCs w:val="20"/>
        </w:rPr>
        <w:t>period</w:t>
      </w:r>
      <w:r w:rsidR="00573ED6">
        <w:rPr>
          <w:rFonts w:ascii="Rupee Foradian" w:hAnsi="Rupee Foradian" w:cs="Arial"/>
          <w:sz w:val="20"/>
          <w:szCs w:val="20"/>
        </w:rPr>
        <w:t xml:space="preserve"> </w:t>
      </w:r>
      <w:r w:rsidRPr="00EB0432">
        <w:rPr>
          <w:rFonts w:ascii="Rupee Foradian" w:hAnsi="Rupee Foradian" w:cs="Arial"/>
          <w:sz w:val="20"/>
          <w:szCs w:val="20"/>
        </w:rPr>
        <w:t>classification.</w:t>
      </w:r>
    </w:p>
    <w:p w:rsidR="003E5919" w:rsidRPr="00EB0432" w:rsidRDefault="003E5919" w:rsidP="003E5919">
      <w:pPr>
        <w:pStyle w:val="DefaultText"/>
        <w:ind w:left="720"/>
        <w:jc w:val="both"/>
        <w:rPr>
          <w:rFonts w:ascii="Rupee Foradian" w:hAnsi="Rupee Foradian" w:cs="Arial"/>
          <w:sz w:val="20"/>
          <w:szCs w:val="20"/>
        </w:rPr>
      </w:pPr>
    </w:p>
    <w:p w:rsidR="00187F8E" w:rsidRPr="00EB0432" w:rsidRDefault="00351722" w:rsidP="00C6249E">
      <w:pPr>
        <w:pStyle w:val="DefaultText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</w:p>
    <w:p w:rsidR="00B45ED0" w:rsidRPr="00EB0432" w:rsidRDefault="00AE5E83" w:rsidP="00AE5E83">
      <w:pPr>
        <w:pStyle w:val="DefaultText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 w:rsidR="00B45ED0" w:rsidRPr="00EB0432">
        <w:rPr>
          <w:rFonts w:ascii="Arial" w:hAnsi="Arial" w:cs="Arial"/>
          <w:sz w:val="20"/>
          <w:szCs w:val="20"/>
        </w:rPr>
        <w:t xml:space="preserve">By order of the Board </w:t>
      </w:r>
    </w:p>
    <w:p w:rsidR="005F2072" w:rsidRPr="00EB0432" w:rsidRDefault="00351722" w:rsidP="00351722">
      <w:pPr>
        <w:pStyle w:val="DefaultText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</w:p>
    <w:p w:rsidR="00187F8E" w:rsidRPr="00EB0432" w:rsidRDefault="00187F8E" w:rsidP="00351722">
      <w:pPr>
        <w:pStyle w:val="DefaultText"/>
        <w:ind w:left="720" w:hanging="720"/>
        <w:jc w:val="center"/>
        <w:rPr>
          <w:rFonts w:ascii="Arial" w:hAnsi="Arial" w:cs="Arial"/>
          <w:sz w:val="20"/>
          <w:szCs w:val="20"/>
        </w:rPr>
      </w:pPr>
    </w:p>
    <w:p w:rsidR="00B45ED0" w:rsidRDefault="00351722" w:rsidP="00351722">
      <w:pPr>
        <w:pStyle w:val="DefaultText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  <w:r w:rsidR="00456FA8" w:rsidRPr="00EB0432">
        <w:rPr>
          <w:rFonts w:ascii="Arial" w:hAnsi="Arial" w:cs="Arial"/>
          <w:sz w:val="20"/>
          <w:szCs w:val="20"/>
        </w:rPr>
        <w:tab/>
      </w:r>
    </w:p>
    <w:p w:rsidR="007E6DEF" w:rsidRDefault="007E6DEF" w:rsidP="00DB48C2">
      <w:pPr>
        <w:pStyle w:val="DefaultText"/>
        <w:ind w:left="720" w:hanging="720"/>
        <w:rPr>
          <w:rFonts w:ascii="Arial" w:hAnsi="Arial" w:cs="Arial"/>
          <w:sz w:val="20"/>
          <w:szCs w:val="20"/>
        </w:rPr>
      </w:pPr>
    </w:p>
    <w:p w:rsidR="00DB48C2" w:rsidRPr="00EB0432" w:rsidRDefault="00FC68AC" w:rsidP="00DB48C2">
      <w:pPr>
        <w:pStyle w:val="DefaultText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Dated</w:t>
      </w:r>
      <w:r w:rsidR="00AE5E83">
        <w:rPr>
          <w:rFonts w:ascii="Arial" w:hAnsi="Arial" w:cs="Arial"/>
          <w:sz w:val="20"/>
          <w:szCs w:val="20"/>
        </w:rPr>
        <w:tab/>
      </w:r>
      <w:r w:rsidR="00FF40D9" w:rsidRPr="00EB0432">
        <w:rPr>
          <w:rFonts w:ascii="Arial" w:hAnsi="Arial" w:cs="Arial"/>
          <w:sz w:val="20"/>
          <w:szCs w:val="20"/>
        </w:rPr>
        <w:t>:</w:t>
      </w:r>
      <w:r w:rsidR="007E6DEF">
        <w:rPr>
          <w:rFonts w:ascii="Arial" w:hAnsi="Arial" w:cs="Arial"/>
          <w:sz w:val="20"/>
          <w:szCs w:val="20"/>
        </w:rPr>
        <w:t xml:space="preserve"> January 27</w:t>
      </w:r>
      <w:r w:rsidR="007106D9">
        <w:rPr>
          <w:rFonts w:ascii="Arial" w:hAnsi="Arial" w:cs="Arial"/>
          <w:sz w:val="20"/>
          <w:szCs w:val="20"/>
        </w:rPr>
        <w:t>, 2018</w:t>
      </w:r>
      <w:r w:rsidR="00F04582" w:rsidRPr="00EB0432">
        <w:rPr>
          <w:rFonts w:ascii="Arial" w:hAnsi="Arial" w:cs="Arial"/>
          <w:sz w:val="20"/>
          <w:szCs w:val="20"/>
        </w:rPr>
        <w:tab/>
      </w:r>
      <w:r w:rsidR="005F3CB4">
        <w:rPr>
          <w:rFonts w:ascii="Arial" w:hAnsi="Arial" w:cs="Arial"/>
          <w:sz w:val="20"/>
          <w:szCs w:val="20"/>
        </w:rPr>
        <w:tab/>
      </w:r>
      <w:r w:rsidR="005F3CB4">
        <w:rPr>
          <w:rFonts w:ascii="Arial" w:hAnsi="Arial" w:cs="Arial"/>
          <w:sz w:val="20"/>
          <w:szCs w:val="20"/>
        </w:rPr>
        <w:tab/>
      </w:r>
      <w:r w:rsidR="005F3CB4">
        <w:rPr>
          <w:rFonts w:ascii="Arial" w:hAnsi="Arial" w:cs="Arial"/>
          <w:sz w:val="20"/>
          <w:szCs w:val="20"/>
        </w:rPr>
        <w:tab/>
      </w:r>
      <w:r w:rsidR="003162CD" w:rsidRPr="00EB0432">
        <w:rPr>
          <w:rFonts w:ascii="Arial" w:hAnsi="Arial" w:cs="Arial"/>
          <w:sz w:val="20"/>
          <w:szCs w:val="20"/>
        </w:rPr>
        <w:tab/>
      </w:r>
      <w:r w:rsidR="003162CD" w:rsidRPr="00EB0432">
        <w:rPr>
          <w:rFonts w:ascii="Arial" w:hAnsi="Arial" w:cs="Arial"/>
          <w:sz w:val="20"/>
          <w:szCs w:val="20"/>
        </w:rPr>
        <w:tab/>
      </w:r>
      <w:r w:rsidR="00AE5E83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AE5E83">
        <w:rPr>
          <w:rFonts w:ascii="Arial" w:hAnsi="Arial" w:cs="Arial"/>
          <w:sz w:val="20"/>
          <w:szCs w:val="20"/>
        </w:rPr>
        <w:t xml:space="preserve">   </w:t>
      </w:r>
      <w:r w:rsidR="00E04E04" w:rsidRPr="00EB0432">
        <w:rPr>
          <w:rFonts w:ascii="Arial" w:hAnsi="Arial" w:cs="Arial"/>
          <w:b/>
          <w:bCs/>
          <w:sz w:val="20"/>
          <w:szCs w:val="20"/>
        </w:rPr>
        <w:t>[</w:t>
      </w:r>
      <w:proofErr w:type="gramEnd"/>
      <w:r w:rsidR="00494B2F" w:rsidRPr="00EB0432">
        <w:rPr>
          <w:rFonts w:ascii="Arial" w:hAnsi="Arial" w:cs="Arial"/>
          <w:b/>
          <w:bCs/>
          <w:sz w:val="20"/>
          <w:szCs w:val="20"/>
        </w:rPr>
        <w:t>Mohammad Mustafa</w:t>
      </w:r>
      <w:r w:rsidR="00DB48C2" w:rsidRPr="00EB0432">
        <w:rPr>
          <w:rFonts w:ascii="Arial" w:hAnsi="Arial" w:cs="Arial"/>
          <w:b/>
          <w:bCs/>
          <w:sz w:val="20"/>
          <w:szCs w:val="20"/>
        </w:rPr>
        <w:t xml:space="preserve">]          </w:t>
      </w:r>
    </w:p>
    <w:p w:rsidR="00DB48C2" w:rsidRPr="00EB0432" w:rsidRDefault="00DB48C2" w:rsidP="00DB48C2">
      <w:pPr>
        <w:pStyle w:val="DefaultText"/>
        <w:rPr>
          <w:rFonts w:ascii="Arial" w:hAnsi="Arial" w:cs="Arial"/>
          <w:b/>
          <w:bCs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Place</w:t>
      </w:r>
      <w:r w:rsidR="00AE5E83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 xml:space="preserve">: </w:t>
      </w:r>
      <w:r w:rsidR="00AE5E83">
        <w:rPr>
          <w:rFonts w:ascii="Arial" w:hAnsi="Arial" w:cs="Arial"/>
          <w:sz w:val="20"/>
          <w:szCs w:val="20"/>
        </w:rPr>
        <w:t>New Delhi</w:t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="007106D9">
        <w:rPr>
          <w:rFonts w:ascii="Arial" w:hAnsi="Arial" w:cs="Arial"/>
          <w:sz w:val="20"/>
          <w:szCs w:val="20"/>
        </w:rPr>
        <w:tab/>
      </w:r>
      <w:r w:rsidR="00494B2F" w:rsidRPr="00EB0432">
        <w:rPr>
          <w:rStyle w:val="st"/>
          <w:rFonts w:ascii="Arial" w:hAnsi="Arial" w:cs="Arial"/>
          <w:b/>
          <w:bCs/>
          <w:sz w:val="20"/>
          <w:szCs w:val="20"/>
          <w:lang w:val="en-IN"/>
        </w:rPr>
        <w:t xml:space="preserve">Chairman and </w:t>
      </w:r>
      <w:r w:rsidRPr="00EB0432">
        <w:rPr>
          <w:rStyle w:val="st"/>
          <w:rFonts w:ascii="Arial" w:hAnsi="Arial" w:cs="Arial"/>
          <w:b/>
          <w:bCs/>
          <w:sz w:val="20"/>
          <w:szCs w:val="20"/>
          <w:lang w:val="en-IN"/>
        </w:rPr>
        <w:t>Managing Director</w:t>
      </w:r>
    </w:p>
    <w:p w:rsidR="00B45ED0" w:rsidRPr="00EB0432" w:rsidRDefault="00B45ED0" w:rsidP="00DB48C2">
      <w:pPr>
        <w:pStyle w:val="DefaultText"/>
        <w:ind w:left="720" w:hanging="720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</w:t>
      </w:r>
    </w:p>
    <w:p w:rsidR="002D6667" w:rsidRPr="00EB0432" w:rsidRDefault="002D6667" w:rsidP="005F2072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EB0432">
        <w:rPr>
          <w:rFonts w:ascii="Arial" w:hAnsi="Arial" w:cs="Arial"/>
          <w:b/>
          <w:bCs/>
          <w:sz w:val="20"/>
          <w:szCs w:val="20"/>
        </w:rPr>
        <w:t xml:space="preserve"> Visit our </w:t>
      </w:r>
      <w:r w:rsidR="0001572D" w:rsidRPr="00EB0432">
        <w:rPr>
          <w:rFonts w:ascii="Arial" w:hAnsi="Arial" w:cs="Arial"/>
          <w:b/>
          <w:bCs/>
          <w:sz w:val="20"/>
          <w:szCs w:val="20"/>
        </w:rPr>
        <w:t>website:</w:t>
      </w:r>
      <w:r w:rsidRPr="00EB0432">
        <w:rPr>
          <w:rFonts w:ascii="Arial" w:hAnsi="Arial" w:cs="Arial"/>
          <w:b/>
          <w:bCs/>
          <w:sz w:val="20"/>
          <w:szCs w:val="20"/>
        </w:rPr>
        <w:t xml:space="preserve"> www.sidbi.in</w:t>
      </w:r>
    </w:p>
    <w:sectPr w:rsidR="002D6667" w:rsidRPr="00EB0432" w:rsidSect="00C41F28">
      <w:headerReference w:type="default" r:id="rId9"/>
      <w:footerReference w:type="default" r:id="rId10"/>
      <w:pgSz w:w="11906" w:h="16838"/>
      <w:pgMar w:top="180" w:right="1080" w:bottom="1170" w:left="1080" w:header="1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01" w:rsidRDefault="006C4701">
      <w:r>
        <w:separator/>
      </w:r>
    </w:p>
  </w:endnote>
  <w:endnote w:type="continuationSeparator" w:id="0">
    <w:p w:rsidR="006C4701" w:rsidRDefault="006C4701">
      <w:r>
        <w:continuationSeparator/>
      </w:r>
    </w:p>
  </w:endnote>
  <w:endnote w:type="continuationNotice" w:id="1">
    <w:p w:rsidR="006C4701" w:rsidRDefault="006C47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3225"/>
      <w:docPartObj>
        <w:docPartGallery w:val="Page Numbers (Bottom of Page)"/>
        <w:docPartUnique/>
      </w:docPartObj>
    </w:sdtPr>
    <w:sdtEndPr/>
    <w:sdtContent>
      <w:p w:rsidR="00E72B71" w:rsidRDefault="00E73217">
        <w:pPr>
          <w:pStyle w:val="Footer"/>
          <w:jc w:val="center"/>
        </w:pPr>
        <w:r>
          <w:fldChar w:fldCharType="begin"/>
        </w:r>
        <w:r w:rsidR="00B4675E">
          <w:instrText xml:space="preserve"> PAGE   \* MERGEFORMAT </w:instrText>
        </w:r>
        <w:r>
          <w:fldChar w:fldCharType="separate"/>
        </w:r>
        <w:r w:rsidR="00AE5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B71" w:rsidRDefault="00E72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01" w:rsidRDefault="006C4701">
      <w:r>
        <w:separator/>
      </w:r>
    </w:p>
  </w:footnote>
  <w:footnote w:type="continuationSeparator" w:id="0">
    <w:p w:rsidR="006C4701" w:rsidRDefault="006C4701">
      <w:r>
        <w:continuationSeparator/>
      </w:r>
    </w:p>
  </w:footnote>
  <w:footnote w:type="continuationNotice" w:id="1">
    <w:p w:rsidR="006C4701" w:rsidRDefault="006C470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71" w:rsidRDefault="00E72B71" w:rsidP="00AE36AB">
    <w:pPr>
      <w:pStyle w:val="DefaultText"/>
      <w:rPr>
        <w:rFonts w:ascii="Rupee Foradian" w:hAnsi="Rupee Foradian" w:cs="Arial"/>
        <w:b/>
        <w:bCs/>
        <w:sz w:val="22"/>
        <w:szCs w:val="22"/>
        <w:u w:val="single"/>
      </w:rPr>
    </w:pPr>
  </w:p>
  <w:p w:rsidR="00E72B71" w:rsidRDefault="00E72B71" w:rsidP="00AE36AB">
    <w:pPr>
      <w:pStyle w:val="DefaultText"/>
      <w:rPr>
        <w:rFonts w:ascii="Rupee Foradian" w:hAnsi="Rupee Foradian" w:cs="Arial"/>
        <w:b/>
        <w:bCs/>
        <w:sz w:val="22"/>
        <w:szCs w:val="22"/>
        <w:u w:val="single"/>
      </w:rPr>
    </w:pPr>
  </w:p>
  <w:p w:rsidR="00E72B71" w:rsidRPr="003109A1" w:rsidRDefault="00E72B71" w:rsidP="00366486">
    <w:pPr>
      <w:pStyle w:val="DefaultText"/>
      <w:tabs>
        <w:tab w:val="center" w:pos="4513"/>
        <w:tab w:val="center" w:pos="5265"/>
      </w:tabs>
      <w:ind w:right="-784"/>
      <w:rPr>
        <w:b/>
        <w:bCs/>
      </w:rPr>
    </w:pPr>
    <w:r>
      <w:rPr>
        <w:b/>
        <w:bCs/>
      </w:rPr>
      <w:tab/>
    </w:r>
    <w:r w:rsidRPr="003109A1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65C"/>
    <w:multiLevelType w:val="hybridMultilevel"/>
    <w:tmpl w:val="B692A726"/>
    <w:lvl w:ilvl="0" w:tplc="ED7C3A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FB2"/>
    <w:multiLevelType w:val="singleLevel"/>
    <w:tmpl w:val="ED6621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66622F"/>
    <w:multiLevelType w:val="hybridMultilevel"/>
    <w:tmpl w:val="C0B20E68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A7"/>
    <w:rsid w:val="000033AC"/>
    <w:rsid w:val="00003882"/>
    <w:rsid w:val="00003B28"/>
    <w:rsid w:val="00005C3E"/>
    <w:rsid w:val="00006CED"/>
    <w:rsid w:val="0001572D"/>
    <w:rsid w:val="0002605F"/>
    <w:rsid w:val="00027484"/>
    <w:rsid w:val="00034E26"/>
    <w:rsid w:val="00035439"/>
    <w:rsid w:val="00042BD1"/>
    <w:rsid w:val="00043DA2"/>
    <w:rsid w:val="00045628"/>
    <w:rsid w:val="000470F7"/>
    <w:rsid w:val="00054EA5"/>
    <w:rsid w:val="00056B05"/>
    <w:rsid w:val="0005702B"/>
    <w:rsid w:val="00060B79"/>
    <w:rsid w:val="000623A1"/>
    <w:rsid w:val="0006483E"/>
    <w:rsid w:val="00065201"/>
    <w:rsid w:val="00065928"/>
    <w:rsid w:val="00065B0A"/>
    <w:rsid w:val="00067EF5"/>
    <w:rsid w:val="0007277B"/>
    <w:rsid w:val="00074D71"/>
    <w:rsid w:val="00084E7F"/>
    <w:rsid w:val="000850A5"/>
    <w:rsid w:val="00085B0D"/>
    <w:rsid w:val="000870DF"/>
    <w:rsid w:val="00091546"/>
    <w:rsid w:val="000933BB"/>
    <w:rsid w:val="000A071A"/>
    <w:rsid w:val="000A2A1D"/>
    <w:rsid w:val="000A697A"/>
    <w:rsid w:val="000B1083"/>
    <w:rsid w:val="000B392F"/>
    <w:rsid w:val="000B7E91"/>
    <w:rsid w:val="000B7FF6"/>
    <w:rsid w:val="000C1E21"/>
    <w:rsid w:val="000D1E5A"/>
    <w:rsid w:val="000D5513"/>
    <w:rsid w:val="000D79E7"/>
    <w:rsid w:val="000E299D"/>
    <w:rsid w:val="000E7AE2"/>
    <w:rsid w:val="000F1260"/>
    <w:rsid w:val="000F1645"/>
    <w:rsid w:val="000F50A7"/>
    <w:rsid w:val="00101911"/>
    <w:rsid w:val="00102B53"/>
    <w:rsid w:val="001139B2"/>
    <w:rsid w:val="001165E9"/>
    <w:rsid w:val="001274C5"/>
    <w:rsid w:val="00130EF3"/>
    <w:rsid w:val="00130F11"/>
    <w:rsid w:val="0013381A"/>
    <w:rsid w:val="00135593"/>
    <w:rsid w:val="0013715D"/>
    <w:rsid w:val="00140086"/>
    <w:rsid w:val="001410A4"/>
    <w:rsid w:val="00143F6A"/>
    <w:rsid w:val="00146FC1"/>
    <w:rsid w:val="0015444B"/>
    <w:rsid w:val="001572B9"/>
    <w:rsid w:val="00161007"/>
    <w:rsid w:val="001628B6"/>
    <w:rsid w:val="00165323"/>
    <w:rsid w:val="00171E16"/>
    <w:rsid w:val="00173598"/>
    <w:rsid w:val="001760DA"/>
    <w:rsid w:val="00177DB4"/>
    <w:rsid w:val="00187F8E"/>
    <w:rsid w:val="0019468E"/>
    <w:rsid w:val="00195185"/>
    <w:rsid w:val="0019538C"/>
    <w:rsid w:val="00197FC2"/>
    <w:rsid w:val="001A21C2"/>
    <w:rsid w:val="001A25CE"/>
    <w:rsid w:val="001A3C8D"/>
    <w:rsid w:val="001B11A8"/>
    <w:rsid w:val="001B2F5C"/>
    <w:rsid w:val="001B52ED"/>
    <w:rsid w:val="001C2E03"/>
    <w:rsid w:val="001C3870"/>
    <w:rsid w:val="001C3B1B"/>
    <w:rsid w:val="001D3C0E"/>
    <w:rsid w:val="001D50C2"/>
    <w:rsid w:val="001E4C6B"/>
    <w:rsid w:val="001E6440"/>
    <w:rsid w:val="001E7EA2"/>
    <w:rsid w:val="001F3AC6"/>
    <w:rsid w:val="001F43E6"/>
    <w:rsid w:val="00200699"/>
    <w:rsid w:val="00202C6A"/>
    <w:rsid w:val="00203003"/>
    <w:rsid w:val="0020512D"/>
    <w:rsid w:val="0021569D"/>
    <w:rsid w:val="002172F3"/>
    <w:rsid w:val="00217E7A"/>
    <w:rsid w:val="00220966"/>
    <w:rsid w:val="002231D5"/>
    <w:rsid w:val="002250C5"/>
    <w:rsid w:val="0022560F"/>
    <w:rsid w:val="00233197"/>
    <w:rsid w:val="002332B4"/>
    <w:rsid w:val="002340CB"/>
    <w:rsid w:val="00234D7B"/>
    <w:rsid w:val="0024659C"/>
    <w:rsid w:val="0025498F"/>
    <w:rsid w:val="00255351"/>
    <w:rsid w:val="00257885"/>
    <w:rsid w:val="00262E17"/>
    <w:rsid w:val="002667F4"/>
    <w:rsid w:val="002719ED"/>
    <w:rsid w:val="00274289"/>
    <w:rsid w:val="00275E76"/>
    <w:rsid w:val="0027696D"/>
    <w:rsid w:val="00277D77"/>
    <w:rsid w:val="002910D0"/>
    <w:rsid w:val="00292637"/>
    <w:rsid w:val="00294E1F"/>
    <w:rsid w:val="002966BB"/>
    <w:rsid w:val="0029748D"/>
    <w:rsid w:val="002A0C12"/>
    <w:rsid w:val="002A223E"/>
    <w:rsid w:val="002A6418"/>
    <w:rsid w:val="002B24C5"/>
    <w:rsid w:val="002B2D61"/>
    <w:rsid w:val="002B3003"/>
    <w:rsid w:val="002B56AA"/>
    <w:rsid w:val="002D0E25"/>
    <w:rsid w:val="002D44FC"/>
    <w:rsid w:val="002D4EB5"/>
    <w:rsid w:val="002D6667"/>
    <w:rsid w:val="002D6806"/>
    <w:rsid w:val="002E0DEC"/>
    <w:rsid w:val="002E1315"/>
    <w:rsid w:val="002E580B"/>
    <w:rsid w:val="002F72D4"/>
    <w:rsid w:val="00303B2E"/>
    <w:rsid w:val="003050A9"/>
    <w:rsid w:val="00307513"/>
    <w:rsid w:val="0030784F"/>
    <w:rsid w:val="0031058A"/>
    <w:rsid w:val="003109A1"/>
    <w:rsid w:val="0031172B"/>
    <w:rsid w:val="003138D2"/>
    <w:rsid w:val="00313A3C"/>
    <w:rsid w:val="003162CD"/>
    <w:rsid w:val="003175C2"/>
    <w:rsid w:val="00323D6B"/>
    <w:rsid w:val="00326339"/>
    <w:rsid w:val="00326CE7"/>
    <w:rsid w:val="00327831"/>
    <w:rsid w:val="003310C4"/>
    <w:rsid w:val="003354F5"/>
    <w:rsid w:val="00343F58"/>
    <w:rsid w:val="00345F45"/>
    <w:rsid w:val="00350A5E"/>
    <w:rsid w:val="00351722"/>
    <w:rsid w:val="00353409"/>
    <w:rsid w:val="00357602"/>
    <w:rsid w:val="00360F8F"/>
    <w:rsid w:val="00362F05"/>
    <w:rsid w:val="00363646"/>
    <w:rsid w:val="00366332"/>
    <w:rsid w:val="00366486"/>
    <w:rsid w:val="00373404"/>
    <w:rsid w:val="0037697C"/>
    <w:rsid w:val="00380F5D"/>
    <w:rsid w:val="00381E5E"/>
    <w:rsid w:val="00383DAE"/>
    <w:rsid w:val="00383E04"/>
    <w:rsid w:val="00386768"/>
    <w:rsid w:val="003903D6"/>
    <w:rsid w:val="0039076B"/>
    <w:rsid w:val="0039387A"/>
    <w:rsid w:val="003946D0"/>
    <w:rsid w:val="003A0C54"/>
    <w:rsid w:val="003A1385"/>
    <w:rsid w:val="003A1EA5"/>
    <w:rsid w:val="003A2112"/>
    <w:rsid w:val="003A47DB"/>
    <w:rsid w:val="003A5032"/>
    <w:rsid w:val="003B432A"/>
    <w:rsid w:val="003C3576"/>
    <w:rsid w:val="003C443A"/>
    <w:rsid w:val="003D47B5"/>
    <w:rsid w:val="003D6DFA"/>
    <w:rsid w:val="003D7248"/>
    <w:rsid w:val="003E103B"/>
    <w:rsid w:val="003E5919"/>
    <w:rsid w:val="003E7D31"/>
    <w:rsid w:val="003F6044"/>
    <w:rsid w:val="003F66C5"/>
    <w:rsid w:val="00405A4B"/>
    <w:rsid w:val="004212EA"/>
    <w:rsid w:val="004245E5"/>
    <w:rsid w:val="00430C51"/>
    <w:rsid w:val="0043598B"/>
    <w:rsid w:val="00437A26"/>
    <w:rsid w:val="004421F4"/>
    <w:rsid w:val="00442F70"/>
    <w:rsid w:val="00445CE8"/>
    <w:rsid w:val="00447AC0"/>
    <w:rsid w:val="004546FA"/>
    <w:rsid w:val="00455A9C"/>
    <w:rsid w:val="00456FA8"/>
    <w:rsid w:val="004628AF"/>
    <w:rsid w:val="00464F72"/>
    <w:rsid w:val="00467B1D"/>
    <w:rsid w:val="00471896"/>
    <w:rsid w:val="00472DCC"/>
    <w:rsid w:val="004825C0"/>
    <w:rsid w:val="00482891"/>
    <w:rsid w:val="00485C1A"/>
    <w:rsid w:val="00487146"/>
    <w:rsid w:val="00494B2F"/>
    <w:rsid w:val="0049550D"/>
    <w:rsid w:val="004A111F"/>
    <w:rsid w:val="004A5009"/>
    <w:rsid w:val="004A56B5"/>
    <w:rsid w:val="004A57E3"/>
    <w:rsid w:val="004B017D"/>
    <w:rsid w:val="004B1F9F"/>
    <w:rsid w:val="004B3A24"/>
    <w:rsid w:val="004B5863"/>
    <w:rsid w:val="004B5BD4"/>
    <w:rsid w:val="004C318A"/>
    <w:rsid w:val="004C39D6"/>
    <w:rsid w:val="004C3CC2"/>
    <w:rsid w:val="004C56BA"/>
    <w:rsid w:val="004C7B86"/>
    <w:rsid w:val="004D362A"/>
    <w:rsid w:val="004D7F4D"/>
    <w:rsid w:val="004E1A3A"/>
    <w:rsid w:val="004E213A"/>
    <w:rsid w:val="004E4D4D"/>
    <w:rsid w:val="004E79A9"/>
    <w:rsid w:val="004E7DF7"/>
    <w:rsid w:val="004F1BAF"/>
    <w:rsid w:val="004F6E3C"/>
    <w:rsid w:val="004F751B"/>
    <w:rsid w:val="00500992"/>
    <w:rsid w:val="00502BBF"/>
    <w:rsid w:val="00503745"/>
    <w:rsid w:val="005065A1"/>
    <w:rsid w:val="00512815"/>
    <w:rsid w:val="005221C4"/>
    <w:rsid w:val="00523725"/>
    <w:rsid w:val="00527008"/>
    <w:rsid w:val="00527120"/>
    <w:rsid w:val="0053020B"/>
    <w:rsid w:val="005316C3"/>
    <w:rsid w:val="0053291F"/>
    <w:rsid w:val="00536DDA"/>
    <w:rsid w:val="005377A1"/>
    <w:rsid w:val="00537C2A"/>
    <w:rsid w:val="00540821"/>
    <w:rsid w:val="00541ABD"/>
    <w:rsid w:val="005452EC"/>
    <w:rsid w:val="005469EC"/>
    <w:rsid w:val="0054747D"/>
    <w:rsid w:val="00554E40"/>
    <w:rsid w:val="00554F29"/>
    <w:rsid w:val="0056108D"/>
    <w:rsid w:val="00562306"/>
    <w:rsid w:val="00566053"/>
    <w:rsid w:val="00566871"/>
    <w:rsid w:val="005679C6"/>
    <w:rsid w:val="00567D61"/>
    <w:rsid w:val="00572997"/>
    <w:rsid w:val="00573ED6"/>
    <w:rsid w:val="00575974"/>
    <w:rsid w:val="005761B3"/>
    <w:rsid w:val="00577263"/>
    <w:rsid w:val="00580775"/>
    <w:rsid w:val="005817F5"/>
    <w:rsid w:val="00581B92"/>
    <w:rsid w:val="00584B0A"/>
    <w:rsid w:val="00585A5B"/>
    <w:rsid w:val="00592D54"/>
    <w:rsid w:val="00594570"/>
    <w:rsid w:val="00597A1A"/>
    <w:rsid w:val="00597C9F"/>
    <w:rsid w:val="005A0146"/>
    <w:rsid w:val="005A6E37"/>
    <w:rsid w:val="005B4523"/>
    <w:rsid w:val="005B7F48"/>
    <w:rsid w:val="005C10A7"/>
    <w:rsid w:val="005C75DD"/>
    <w:rsid w:val="005D1293"/>
    <w:rsid w:val="005D4EFB"/>
    <w:rsid w:val="005F19A8"/>
    <w:rsid w:val="005F2072"/>
    <w:rsid w:val="005F2B11"/>
    <w:rsid w:val="005F3CB4"/>
    <w:rsid w:val="005F47F9"/>
    <w:rsid w:val="005F4E3D"/>
    <w:rsid w:val="005F511D"/>
    <w:rsid w:val="00601FDD"/>
    <w:rsid w:val="0061331E"/>
    <w:rsid w:val="00634F20"/>
    <w:rsid w:val="006353E1"/>
    <w:rsid w:val="00640354"/>
    <w:rsid w:val="00646C6F"/>
    <w:rsid w:val="006500D5"/>
    <w:rsid w:val="00651875"/>
    <w:rsid w:val="006545D6"/>
    <w:rsid w:val="0065468C"/>
    <w:rsid w:val="0065610D"/>
    <w:rsid w:val="00657032"/>
    <w:rsid w:val="00671C22"/>
    <w:rsid w:val="00674380"/>
    <w:rsid w:val="00677F90"/>
    <w:rsid w:val="00683D28"/>
    <w:rsid w:val="00685887"/>
    <w:rsid w:val="00686127"/>
    <w:rsid w:val="00686308"/>
    <w:rsid w:val="006866DC"/>
    <w:rsid w:val="00686EFD"/>
    <w:rsid w:val="0069071D"/>
    <w:rsid w:val="00691A8B"/>
    <w:rsid w:val="00694DDF"/>
    <w:rsid w:val="00696328"/>
    <w:rsid w:val="00697153"/>
    <w:rsid w:val="006B268B"/>
    <w:rsid w:val="006B3977"/>
    <w:rsid w:val="006C24D2"/>
    <w:rsid w:val="006C2847"/>
    <w:rsid w:val="006C2D40"/>
    <w:rsid w:val="006C4701"/>
    <w:rsid w:val="006C525D"/>
    <w:rsid w:val="006D009D"/>
    <w:rsid w:val="006D3473"/>
    <w:rsid w:val="006D71E1"/>
    <w:rsid w:val="006E1236"/>
    <w:rsid w:val="006E274A"/>
    <w:rsid w:val="006E4A67"/>
    <w:rsid w:val="006E4E4D"/>
    <w:rsid w:val="006F1D47"/>
    <w:rsid w:val="006F71C9"/>
    <w:rsid w:val="006F7F30"/>
    <w:rsid w:val="00700100"/>
    <w:rsid w:val="007047E1"/>
    <w:rsid w:val="00707123"/>
    <w:rsid w:val="007106D9"/>
    <w:rsid w:val="00710E22"/>
    <w:rsid w:val="00711430"/>
    <w:rsid w:val="00717578"/>
    <w:rsid w:val="00720751"/>
    <w:rsid w:val="007224A9"/>
    <w:rsid w:val="007261A9"/>
    <w:rsid w:val="007314DC"/>
    <w:rsid w:val="00731F17"/>
    <w:rsid w:val="00741CB1"/>
    <w:rsid w:val="00742B48"/>
    <w:rsid w:val="00750203"/>
    <w:rsid w:val="0075139C"/>
    <w:rsid w:val="00753ACE"/>
    <w:rsid w:val="00757AFC"/>
    <w:rsid w:val="00760546"/>
    <w:rsid w:val="007607DB"/>
    <w:rsid w:val="00760C7D"/>
    <w:rsid w:val="00760E9F"/>
    <w:rsid w:val="007618CA"/>
    <w:rsid w:val="00780488"/>
    <w:rsid w:val="007817A1"/>
    <w:rsid w:val="0078229E"/>
    <w:rsid w:val="00784181"/>
    <w:rsid w:val="0079267B"/>
    <w:rsid w:val="00797354"/>
    <w:rsid w:val="007B4BD0"/>
    <w:rsid w:val="007B7EB9"/>
    <w:rsid w:val="007C38AE"/>
    <w:rsid w:val="007C5464"/>
    <w:rsid w:val="007D56F3"/>
    <w:rsid w:val="007E090A"/>
    <w:rsid w:val="007E0B28"/>
    <w:rsid w:val="007E15A2"/>
    <w:rsid w:val="007E571F"/>
    <w:rsid w:val="007E6DEF"/>
    <w:rsid w:val="007E6FCB"/>
    <w:rsid w:val="007F56B4"/>
    <w:rsid w:val="00800752"/>
    <w:rsid w:val="00800966"/>
    <w:rsid w:val="008059CA"/>
    <w:rsid w:val="008075D3"/>
    <w:rsid w:val="00817386"/>
    <w:rsid w:val="00820FB0"/>
    <w:rsid w:val="00824A88"/>
    <w:rsid w:val="00825A11"/>
    <w:rsid w:val="00831814"/>
    <w:rsid w:val="00840B60"/>
    <w:rsid w:val="0084205A"/>
    <w:rsid w:val="00842381"/>
    <w:rsid w:val="00854CDE"/>
    <w:rsid w:val="00855ABB"/>
    <w:rsid w:val="00855DE9"/>
    <w:rsid w:val="00857BC8"/>
    <w:rsid w:val="00860552"/>
    <w:rsid w:val="00861602"/>
    <w:rsid w:val="0086409A"/>
    <w:rsid w:val="00871FE2"/>
    <w:rsid w:val="0087532C"/>
    <w:rsid w:val="00884108"/>
    <w:rsid w:val="008912D8"/>
    <w:rsid w:val="00897992"/>
    <w:rsid w:val="008A093C"/>
    <w:rsid w:val="008A3C20"/>
    <w:rsid w:val="008A4840"/>
    <w:rsid w:val="008A5752"/>
    <w:rsid w:val="008B05E7"/>
    <w:rsid w:val="008C051A"/>
    <w:rsid w:val="008C0533"/>
    <w:rsid w:val="008E26F8"/>
    <w:rsid w:val="008E4189"/>
    <w:rsid w:val="008F72AD"/>
    <w:rsid w:val="00900FFC"/>
    <w:rsid w:val="00901B51"/>
    <w:rsid w:val="00902502"/>
    <w:rsid w:val="00905794"/>
    <w:rsid w:val="009129BC"/>
    <w:rsid w:val="00913FE9"/>
    <w:rsid w:val="00914788"/>
    <w:rsid w:val="009150F1"/>
    <w:rsid w:val="00920B67"/>
    <w:rsid w:val="00922036"/>
    <w:rsid w:val="00923391"/>
    <w:rsid w:val="0092355B"/>
    <w:rsid w:val="009254EC"/>
    <w:rsid w:val="00941AB2"/>
    <w:rsid w:val="009445DA"/>
    <w:rsid w:val="0094503D"/>
    <w:rsid w:val="00945ACC"/>
    <w:rsid w:val="009558B7"/>
    <w:rsid w:val="00955D06"/>
    <w:rsid w:val="00956D69"/>
    <w:rsid w:val="0096024C"/>
    <w:rsid w:val="0096088E"/>
    <w:rsid w:val="009622CC"/>
    <w:rsid w:val="00962DEE"/>
    <w:rsid w:val="00963E42"/>
    <w:rsid w:val="00965A79"/>
    <w:rsid w:val="00971EB7"/>
    <w:rsid w:val="00976B4E"/>
    <w:rsid w:val="00980A0E"/>
    <w:rsid w:val="00986876"/>
    <w:rsid w:val="00991F26"/>
    <w:rsid w:val="009A08D4"/>
    <w:rsid w:val="009A39A8"/>
    <w:rsid w:val="009B1BC4"/>
    <w:rsid w:val="009B421F"/>
    <w:rsid w:val="009C0CC9"/>
    <w:rsid w:val="009C6D67"/>
    <w:rsid w:val="009D1D3A"/>
    <w:rsid w:val="009D45B5"/>
    <w:rsid w:val="009D511F"/>
    <w:rsid w:val="009E0D52"/>
    <w:rsid w:val="009E6431"/>
    <w:rsid w:val="009F2FAE"/>
    <w:rsid w:val="009F41C5"/>
    <w:rsid w:val="009F56E0"/>
    <w:rsid w:val="00A00925"/>
    <w:rsid w:val="00A009AE"/>
    <w:rsid w:val="00A02336"/>
    <w:rsid w:val="00A17343"/>
    <w:rsid w:val="00A2438F"/>
    <w:rsid w:val="00A2506B"/>
    <w:rsid w:val="00A32E79"/>
    <w:rsid w:val="00A3635D"/>
    <w:rsid w:val="00A44101"/>
    <w:rsid w:val="00A50439"/>
    <w:rsid w:val="00A5657D"/>
    <w:rsid w:val="00A56E95"/>
    <w:rsid w:val="00A570CF"/>
    <w:rsid w:val="00A57F88"/>
    <w:rsid w:val="00A63F55"/>
    <w:rsid w:val="00A71B6A"/>
    <w:rsid w:val="00A71DF3"/>
    <w:rsid w:val="00A762A4"/>
    <w:rsid w:val="00A81D82"/>
    <w:rsid w:val="00A83C50"/>
    <w:rsid w:val="00A85BEB"/>
    <w:rsid w:val="00A92545"/>
    <w:rsid w:val="00AA139C"/>
    <w:rsid w:val="00AA4235"/>
    <w:rsid w:val="00AA4486"/>
    <w:rsid w:val="00AA5B0C"/>
    <w:rsid w:val="00AA7163"/>
    <w:rsid w:val="00AA798E"/>
    <w:rsid w:val="00AB13EF"/>
    <w:rsid w:val="00AB1FEA"/>
    <w:rsid w:val="00AB478D"/>
    <w:rsid w:val="00AB73C5"/>
    <w:rsid w:val="00AC2EC2"/>
    <w:rsid w:val="00AC58CD"/>
    <w:rsid w:val="00AD28A0"/>
    <w:rsid w:val="00AD2FA4"/>
    <w:rsid w:val="00AD7572"/>
    <w:rsid w:val="00AE0872"/>
    <w:rsid w:val="00AE1E5F"/>
    <w:rsid w:val="00AE36AB"/>
    <w:rsid w:val="00AE3CF1"/>
    <w:rsid w:val="00AE5785"/>
    <w:rsid w:val="00AE5E83"/>
    <w:rsid w:val="00AE7744"/>
    <w:rsid w:val="00AE7C9D"/>
    <w:rsid w:val="00B007F3"/>
    <w:rsid w:val="00B02B89"/>
    <w:rsid w:val="00B065E1"/>
    <w:rsid w:val="00B07E81"/>
    <w:rsid w:val="00B14FF4"/>
    <w:rsid w:val="00B15949"/>
    <w:rsid w:val="00B15F2E"/>
    <w:rsid w:val="00B16B3C"/>
    <w:rsid w:val="00B2082B"/>
    <w:rsid w:val="00B20DA5"/>
    <w:rsid w:val="00B2114A"/>
    <w:rsid w:val="00B247B3"/>
    <w:rsid w:val="00B25D48"/>
    <w:rsid w:val="00B33E5D"/>
    <w:rsid w:val="00B376C2"/>
    <w:rsid w:val="00B400AF"/>
    <w:rsid w:val="00B44D2F"/>
    <w:rsid w:val="00B45ED0"/>
    <w:rsid w:val="00B4618F"/>
    <w:rsid w:val="00B4675E"/>
    <w:rsid w:val="00B53610"/>
    <w:rsid w:val="00B53DFF"/>
    <w:rsid w:val="00B556E6"/>
    <w:rsid w:val="00B57B5B"/>
    <w:rsid w:val="00B618D0"/>
    <w:rsid w:val="00B619D2"/>
    <w:rsid w:val="00B75B4A"/>
    <w:rsid w:val="00B77203"/>
    <w:rsid w:val="00B858C7"/>
    <w:rsid w:val="00B873E6"/>
    <w:rsid w:val="00B901C7"/>
    <w:rsid w:val="00B90283"/>
    <w:rsid w:val="00B96B99"/>
    <w:rsid w:val="00B97DC9"/>
    <w:rsid w:val="00BA4B09"/>
    <w:rsid w:val="00BA7A9D"/>
    <w:rsid w:val="00BB1327"/>
    <w:rsid w:val="00BB1B1E"/>
    <w:rsid w:val="00BC0BEE"/>
    <w:rsid w:val="00BC3E6A"/>
    <w:rsid w:val="00BC6A4A"/>
    <w:rsid w:val="00BD02A7"/>
    <w:rsid w:val="00BD35C2"/>
    <w:rsid w:val="00BD39C1"/>
    <w:rsid w:val="00BE44CA"/>
    <w:rsid w:val="00BE5F51"/>
    <w:rsid w:val="00BF1CFE"/>
    <w:rsid w:val="00BF29D7"/>
    <w:rsid w:val="00BF32DA"/>
    <w:rsid w:val="00BF6718"/>
    <w:rsid w:val="00C01F7F"/>
    <w:rsid w:val="00C062F0"/>
    <w:rsid w:val="00C074EC"/>
    <w:rsid w:val="00C12A77"/>
    <w:rsid w:val="00C2428E"/>
    <w:rsid w:val="00C25860"/>
    <w:rsid w:val="00C267D9"/>
    <w:rsid w:val="00C314B0"/>
    <w:rsid w:val="00C3266F"/>
    <w:rsid w:val="00C33927"/>
    <w:rsid w:val="00C4034D"/>
    <w:rsid w:val="00C40776"/>
    <w:rsid w:val="00C41F28"/>
    <w:rsid w:val="00C424E9"/>
    <w:rsid w:val="00C426F5"/>
    <w:rsid w:val="00C43CFB"/>
    <w:rsid w:val="00C4646D"/>
    <w:rsid w:val="00C46E63"/>
    <w:rsid w:val="00C537FC"/>
    <w:rsid w:val="00C568BF"/>
    <w:rsid w:val="00C57F0E"/>
    <w:rsid w:val="00C6248B"/>
    <w:rsid w:val="00C6249E"/>
    <w:rsid w:val="00C66168"/>
    <w:rsid w:val="00C66ECF"/>
    <w:rsid w:val="00C70DD4"/>
    <w:rsid w:val="00C77550"/>
    <w:rsid w:val="00C8178B"/>
    <w:rsid w:val="00C8689A"/>
    <w:rsid w:val="00C87584"/>
    <w:rsid w:val="00C906E0"/>
    <w:rsid w:val="00C933E0"/>
    <w:rsid w:val="00C933EC"/>
    <w:rsid w:val="00C93866"/>
    <w:rsid w:val="00C94516"/>
    <w:rsid w:val="00CA2A1E"/>
    <w:rsid w:val="00CA551B"/>
    <w:rsid w:val="00CB24CC"/>
    <w:rsid w:val="00CB27A7"/>
    <w:rsid w:val="00CB74F0"/>
    <w:rsid w:val="00CB78C7"/>
    <w:rsid w:val="00CC0C1C"/>
    <w:rsid w:val="00CC4B60"/>
    <w:rsid w:val="00CD468A"/>
    <w:rsid w:val="00CD6288"/>
    <w:rsid w:val="00CE52D5"/>
    <w:rsid w:val="00CE7FC0"/>
    <w:rsid w:val="00CF54E7"/>
    <w:rsid w:val="00D051CB"/>
    <w:rsid w:val="00D0522E"/>
    <w:rsid w:val="00D11908"/>
    <w:rsid w:val="00D14B20"/>
    <w:rsid w:val="00D14CD8"/>
    <w:rsid w:val="00D17353"/>
    <w:rsid w:val="00D20FCD"/>
    <w:rsid w:val="00D31566"/>
    <w:rsid w:val="00D31599"/>
    <w:rsid w:val="00D3454A"/>
    <w:rsid w:val="00D34D26"/>
    <w:rsid w:val="00D3549B"/>
    <w:rsid w:val="00D35A91"/>
    <w:rsid w:val="00D36A8C"/>
    <w:rsid w:val="00D51FF7"/>
    <w:rsid w:val="00D52684"/>
    <w:rsid w:val="00D55178"/>
    <w:rsid w:val="00D558D5"/>
    <w:rsid w:val="00D61924"/>
    <w:rsid w:val="00D61AF7"/>
    <w:rsid w:val="00D67769"/>
    <w:rsid w:val="00D74D90"/>
    <w:rsid w:val="00D810B6"/>
    <w:rsid w:val="00D8324F"/>
    <w:rsid w:val="00D8479F"/>
    <w:rsid w:val="00D847A5"/>
    <w:rsid w:val="00D953FF"/>
    <w:rsid w:val="00D9546C"/>
    <w:rsid w:val="00D96438"/>
    <w:rsid w:val="00D965FF"/>
    <w:rsid w:val="00DA0F0A"/>
    <w:rsid w:val="00DA1AF7"/>
    <w:rsid w:val="00DA769D"/>
    <w:rsid w:val="00DB1CFD"/>
    <w:rsid w:val="00DB3AF4"/>
    <w:rsid w:val="00DB3E75"/>
    <w:rsid w:val="00DB48C2"/>
    <w:rsid w:val="00DB558D"/>
    <w:rsid w:val="00DB6469"/>
    <w:rsid w:val="00DC09E4"/>
    <w:rsid w:val="00DC4905"/>
    <w:rsid w:val="00DD160C"/>
    <w:rsid w:val="00DD43AC"/>
    <w:rsid w:val="00DD5337"/>
    <w:rsid w:val="00DE2ABE"/>
    <w:rsid w:val="00DE61F1"/>
    <w:rsid w:val="00DF3934"/>
    <w:rsid w:val="00DF39D9"/>
    <w:rsid w:val="00DF48A4"/>
    <w:rsid w:val="00DF6C21"/>
    <w:rsid w:val="00E00D3D"/>
    <w:rsid w:val="00E01242"/>
    <w:rsid w:val="00E016A3"/>
    <w:rsid w:val="00E01EB8"/>
    <w:rsid w:val="00E04889"/>
    <w:rsid w:val="00E04E04"/>
    <w:rsid w:val="00E20162"/>
    <w:rsid w:val="00E2518D"/>
    <w:rsid w:val="00E2656F"/>
    <w:rsid w:val="00E32235"/>
    <w:rsid w:val="00E45DD8"/>
    <w:rsid w:val="00E47958"/>
    <w:rsid w:val="00E525B6"/>
    <w:rsid w:val="00E54A89"/>
    <w:rsid w:val="00E55565"/>
    <w:rsid w:val="00E57294"/>
    <w:rsid w:val="00E576E9"/>
    <w:rsid w:val="00E57AE3"/>
    <w:rsid w:val="00E63807"/>
    <w:rsid w:val="00E643DD"/>
    <w:rsid w:val="00E65BBF"/>
    <w:rsid w:val="00E70A37"/>
    <w:rsid w:val="00E72B71"/>
    <w:rsid w:val="00E73217"/>
    <w:rsid w:val="00E74F3C"/>
    <w:rsid w:val="00E76CB8"/>
    <w:rsid w:val="00E80786"/>
    <w:rsid w:val="00E80AC7"/>
    <w:rsid w:val="00E87DE3"/>
    <w:rsid w:val="00E91DEB"/>
    <w:rsid w:val="00E936D4"/>
    <w:rsid w:val="00E96D71"/>
    <w:rsid w:val="00EA1BCB"/>
    <w:rsid w:val="00EA4D11"/>
    <w:rsid w:val="00EB0432"/>
    <w:rsid w:val="00EB0DAE"/>
    <w:rsid w:val="00EB0ED5"/>
    <w:rsid w:val="00EB1B38"/>
    <w:rsid w:val="00EC26CE"/>
    <w:rsid w:val="00EC7EEA"/>
    <w:rsid w:val="00ED2A24"/>
    <w:rsid w:val="00ED429A"/>
    <w:rsid w:val="00ED498F"/>
    <w:rsid w:val="00EE562B"/>
    <w:rsid w:val="00EF0576"/>
    <w:rsid w:val="00EF1841"/>
    <w:rsid w:val="00EF618C"/>
    <w:rsid w:val="00EF61AE"/>
    <w:rsid w:val="00F01044"/>
    <w:rsid w:val="00F04472"/>
    <w:rsid w:val="00F04582"/>
    <w:rsid w:val="00F049F1"/>
    <w:rsid w:val="00F10F69"/>
    <w:rsid w:val="00F13419"/>
    <w:rsid w:val="00F138B3"/>
    <w:rsid w:val="00F22F92"/>
    <w:rsid w:val="00F23705"/>
    <w:rsid w:val="00F2630D"/>
    <w:rsid w:val="00F27B40"/>
    <w:rsid w:val="00F27B58"/>
    <w:rsid w:val="00F3125F"/>
    <w:rsid w:val="00F5189B"/>
    <w:rsid w:val="00F54F5D"/>
    <w:rsid w:val="00F553BC"/>
    <w:rsid w:val="00F621AF"/>
    <w:rsid w:val="00F640F0"/>
    <w:rsid w:val="00F66B95"/>
    <w:rsid w:val="00F76CD3"/>
    <w:rsid w:val="00F85092"/>
    <w:rsid w:val="00F858EE"/>
    <w:rsid w:val="00F86CC6"/>
    <w:rsid w:val="00F87689"/>
    <w:rsid w:val="00F87CD8"/>
    <w:rsid w:val="00F925B5"/>
    <w:rsid w:val="00FA086E"/>
    <w:rsid w:val="00FA272B"/>
    <w:rsid w:val="00FA4DF7"/>
    <w:rsid w:val="00FA683D"/>
    <w:rsid w:val="00FB2022"/>
    <w:rsid w:val="00FC09BA"/>
    <w:rsid w:val="00FC1636"/>
    <w:rsid w:val="00FC5F64"/>
    <w:rsid w:val="00FC68AC"/>
    <w:rsid w:val="00FC7281"/>
    <w:rsid w:val="00FC77E6"/>
    <w:rsid w:val="00FD5CF7"/>
    <w:rsid w:val="00FD5CFC"/>
    <w:rsid w:val="00FE34BD"/>
    <w:rsid w:val="00FE6E8D"/>
    <w:rsid w:val="00FF0FCA"/>
    <w:rsid w:val="00FF40D9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BDF3F"/>
  <w15:docId w15:val="{6165D992-EC6C-498C-89F2-86C866DE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51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cs="Mangal"/>
      <w:sz w:val="24"/>
      <w:szCs w:val="24"/>
    </w:rPr>
  </w:style>
  <w:style w:type="paragraph" w:styleId="Heading1">
    <w:name w:val="heading 1"/>
    <w:basedOn w:val="Normal"/>
    <w:qFormat/>
    <w:rsid w:val="00307513"/>
    <w:pPr>
      <w:spacing w:before="280" w:after="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qFormat/>
    <w:rsid w:val="00307513"/>
    <w:pPr>
      <w:spacing w:before="120" w:after="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qFormat/>
    <w:rsid w:val="00307513"/>
    <w:pPr>
      <w:spacing w:before="12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866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307513"/>
    <w:pPr>
      <w:spacing w:before="0" w:after="240"/>
      <w:jc w:val="center"/>
    </w:pPr>
    <w:rPr>
      <w:rFonts w:ascii="Arial Black" w:hAnsi="Arial Black"/>
      <w:sz w:val="48"/>
      <w:szCs w:val="48"/>
    </w:rPr>
  </w:style>
  <w:style w:type="paragraph" w:customStyle="1" w:styleId="DefaultText1">
    <w:name w:val="Default Text:1"/>
    <w:basedOn w:val="Normal"/>
    <w:rsid w:val="00307513"/>
    <w:pPr>
      <w:spacing w:before="0" w:after="0"/>
    </w:pPr>
  </w:style>
  <w:style w:type="paragraph" w:customStyle="1" w:styleId="OutlineNotIndented">
    <w:name w:val="Outline (Not Indented)"/>
    <w:basedOn w:val="Normal"/>
    <w:rsid w:val="00307513"/>
    <w:pPr>
      <w:spacing w:before="0" w:after="0"/>
    </w:pPr>
  </w:style>
  <w:style w:type="paragraph" w:customStyle="1" w:styleId="OutlineIndented">
    <w:name w:val="Outline (Indented)"/>
    <w:basedOn w:val="Normal"/>
    <w:rsid w:val="00307513"/>
    <w:pPr>
      <w:spacing w:before="0" w:after="0"/>
    </w:pPr>
  </w:style>
  <w:style w:type="paragraph" w:customStyle="1" w:styleId="TableText">
    <w:name w:val="Table Text"/>
    <w:basedOn w:val="Normal"/>
    <w:rsid w:val="00307513"/>
    <w:pPr>
      <w:spacing w:before="0" w:after="0"/>
      <w:jc w:val="right"/>
    </w:pPr>
  </w:style>
  <w:style w:type="paragraph" w:customStyle="1" w:styleId="NumberList">
    <w:name w:val="Number List"/>
    <w:basedOn w:val="Normal"/>
    <w:rsid w:val="00307513"/>
    <w:pPr>
      <w:spacing w:before="0" w:after="0"/>
    </w:pPr>
  </w:style>
  <w:style w:type="paragraph" w:customStyle="1" w:styleId="FirstLineIndent">
    <w:name w:val="First Line Indent"/>
    <w:basedOn w:val="Normal"/>
    <w:rsid w:val="00307513"/>
    <w:pPr>
      <w:spacing w:before="0" w:after="0"/>
      <w:ind w:firstLine="720"/>
    </w:pPr>
  </w:style>
  <w:style w:type="paragraph" w:customStyle="1" w:styleId="Bullet2">
    <w:name w:val="Bullet 2"/>
    <w:basedOn w:val="Normal"/>
    <w:rsid w:val="00307513"/>
    <w:pPr>
      <w:spacing w:before="0" w:after="0"/>
    </w:pPr>
  </w:style>
  <w:style w:type="paragraph" w:customStyle="1" w:styleId="Bullet1">
    <w:name w:val="Bullet 1"/>
    <w:basedOn w:val="Normal"/>
    <w:rsid w:val="00307513"/>
    <w:pPr>
      <w:spacing w:before="0" w:after="0"/>
    </w:pPr>
  </w:style>
  <w:style w:type="paragraph" w:customStyle="1" w:styleId="BodySingle">
    <w:name w:val="Body Single"/>
    <w:basedOn w:val="Normal"/>
    <w:rsid w:val="00307513"/>
    <w:pPr>
      <w:spacing w:before="0" w:after="0"/>
    </w:pPr>
  </w:style>
  <w:style w:type="paragraph" w:customStyle="1" w:styleId="DefaultText">
    <w:name w:val="Default Text"/>
    <w:basedOn w:val="Normal"/>
    <w:link w:val="DefaultTextChar"/>
    <w:rsid w:val="00307513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C9386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A272B"/>
    <w:rPr>
      <w:rFonts w:ascii="Tahoma" w:hAnsi="Tahoma"/>
      <w:sz w:val="16"/>
      <w:szCs w:val="16"/>
    </w:rPr>
  </w:style>
  <w:style w:type="paragraph" w:customStyle="1" w:styleId="Default">
    <w:name w:val="Default"/>
    <w:rsid w:val="006866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23D6B"/>
    <w:rPr>
      <w:rFonts w:cs="Mangal"/>
      <w:sz w:val="24"/>
      <w:szCs w:val="24"/>
    </w:rPr>
  </w:style>
  <w:style w:type="character" w:customStyle="1" w:styleId="DefaultTextChar">
    <w:name w:val="Default Text Char"/>
    <w:basedOn w:val="DefaultParagraphFont"/>
    <w:link w:val="DefaultText"/>
    <w:uiPriority w:val="99"/>
    <w:locked/>
    <w:rsid w:val="00AE36AB"/>
    <w:rPr>
      <w:rFonts w:cs="Mangal"/>
      <w:sz w:val="24"/>
      <w:szCs w:val="24"/>
    </w:rPr>
  </w:style>
  <w:style w:type="character" w:customStyle="1" w:styleId="st">
    <w:name w:val="st"/>
    <w:basedOn w:val="DefaultParagraphFont"/>
    <w:rsid w:val="00DB48C2"/>
  </w:style>
  <w:style w:type="paragraph" w:styleId="Revision">
    <w:name w:val="Revision"/>
    <w:hidden/>
    <w:uiPriority w:val="99"/>
    <w:semiHidden/>
    <w:rsid w:val="00FB2022"/>
    <w:rPr>
      <w:rFonts w:cs="Mangal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E4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D4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D4D"/>
    <w:rPr>
      <w:rFonts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D4D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667D-024C-46A2-948B-FA2BAAED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sidbi</dc:creator>
  <cp:lastModifiedBy>Rajendra Agrawal</cp:lastModifiedBy>
  <cp:revision>4</cp:revision>
  <cp:lastPrinted>2018-01-25T09:05:00Z</cp:lastPrinted>
  <dcterms:created xsi:type="dcterms:W3CDTF">2018-01-25T09:07:00Z</dcterms:created>
  <dcterms:modified xsi:type="dcterms:W3CDTF">2018-01-26T04:23:00Z</dcterms:modified>
</cp:coreProperties>
</file>